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C7" w:rsidRDefault="002C7DC7" w:rsidP="002C7DC7">
      <w:pPr>
        <w:pStyle w:val="berschrift1"/>
      </w:pPr>
      <w:r>
        <w:t>3. Europäische Arbeitsmarkt- und Beschäftigungspolitik</w:t>
      </w:r>
    </w:p>
    <w:p w:rsidR="002C7DC7" w:rsidRPr="002C7DC7" w:rsidRDefault="002E34A2">
      <w:pPr>
        <w:rPr>
          <w:rFonts w:ascii="Verdana" w:hAnsi="Verdana"/>
          <w:sz w:val="20"/>
          <w:szCs w:val="20"/>
        </w:rPr>
      </w:pPr>
      <w:r>
        <w:rPr>
          <w:rFonts w:ascii="Verdana" w:hAnsi="Verdana"/>
          <w:sz w:val="20"/>
          <w:szCs w:val="20"/>
        </w:rPr>
        <w:br/>
      </w:r>
      <w:r w:rsidR="002C7DC7" w:rsidRPr="00B25240">
        <w:rPr>
          <w:rFonts w:ascii="Verdana" w:hAnsi="Verdana"/>
          <w:b/>
          <w:sz w:val="20"/>
          <w:szCs w:val="20"/>
        </w:rPr>
        <w:t>Erwe</w:t>
      </w:r>
      <w:r w:rsidR="00B25240" w:rsidRPr="00B25240">
        <w:rPr>
          <w:rFonts w:ascii="Verdana" w:hAnsi="Verdana"/>
          <w:b/>
          <w:sz w:val="20"/>
          <w:szCs w:val="20"/>
        </w:rPr>
        <w:t>r</w:t>
      </w:r>
      <w:r w:rsidR="002C7DC7" w:rsidRPr="00B25240">
        <w:rPr>
          <w:rFonts w:ascii="Verdana" w:hAnsi="Verdana"/>
          <w:b/>
          <w:sz w:val="20"/>
          <w:szCs w:val="20"/>
        </w:rPr>
        <w:t>bsperson</w:t>
      </w:r>
      <w:r w:rsidR="002C7DC7" w:rsidRPr="002C7DC7">
        <w:rPr>
          <w:rFonts w:ascii="Verdana" w:hAnsi="Verdana"/>
          <w:sz w:val="20"/>
          <w:szCs w:val="20"/>
        </w:rPr>
        <w:t>: die Summe aus Erwerbstätigen und Erwerbslosen.</w:t>
      </w:r>
      <w:r w:rsidR="002C7DC7" w:rsidRPr="002C7DC7">
        <w:rPr>
          <w:rFonts w:ascii="Verdana" w:hAnsi="Verdana"/>
          <w:sz w:val="20"/>
          <w:szCs w:val="20"/>
        </w:rPr>
        <w:br/>
      </w:r>
      <w:r w:rsidR="002C7DC7" w:rsidRPr="00B25240">
        <w:rPr>
          <w:rFonts w:ascii="Verdana" w:hAnsi="Verdana"/>
          <w:b/>
          <w:sz w:val="20"/>
          <w:szCs w:val="20"/>
        </w:rPr>
        <w:t>Erwerbstätiger</w:t>
      </w:r>
      <w:r w:rsidR="002C7DC7" w:rsidRPr="002C7DC7">
        <w:rPr>
          <w:rFonts w:ascii="Verdana" w:hAnsi="Verdana"/>
          <w:sz w:val="20"/>
          <w:szCs w:val="20"/>
        </w:rPr>
        <w:t>: arbeitet mindestens eine Stunde pro Woche, auch Soldaten, Azubis.</w:t>
      </w:r>
      <w:r w:rsidR="002C7DC7" w:rsidRPr="002C7DC7">
        <w:rPr>
          <w:rFonts w:ascii="Verdana" w:hAnsi="Verdana"/>
          <w:sz w:val="20"/>
          <w:szCs w:val="20"/>
        </w:rPr>
        <w:br/>
      </w:r>
      <w:r w:rsidR="002C7DC7" w:rsidRPr="00B25240">
        <w:rPr>
          <w:rFonts w:ascii="Verdana" w:hAnsi="Verdana"/>
          <w:b/>
          <w:sz w:val="20"/>
          <w:szCs w:val="20"/>
        </w:rPr>
        <w:t>Erwerbsloser</w:t>
      </w:r>
      <w:r w:rsidR="002C7DC7" w:rsidRPr="002C7DC7">
        <w:rPr>
          <w:rFonts w:ascii="Verdana" w:hAnsi="Verdana"/>
          <w:sz w:val="20"/>
          <w:szCs w:val="20"/>
        </w:rPr>
        <w:t xml:space="preserve">: hat keine Beschäftigung, ist auf dem Arbeitsmarkt verfügbar </w:t>
      </w:r>
      <w:r w:rsidR="00B25240">
        <w:rPr>
          <w:rFonts w:ascii="Verdana" w:hAnsi="Verdana"/>
          <w:sz w:val="20"/>
          <w:szCs w:val="20"/>
        </w:rPr>
        <w:t>/ suchend.</w:t>
      </w:r>
      <w:r w:rsidR="002C7DC7" w:rsidRPr="002C7DC7">
        <w:rPr>
          <w:rFonts w:ascii="Verdana" w:hAnsi="Verdana"/>
          <w:sz w:val="20"/>
          <w:szCs w:val="20"/>
        </w:rPr>
        <w:br/>
      </w:r>
      <w:r w:rsidR="002C7DC7" w:rsidRPr="00B25240">
        <w:rPr>
          <w:rFonts w:ascii="Verdana" w:hAnsi="Verdana"/>
          <w:b/>
          <w:sz w:val="20"/>
          <w:szCs w:val="20"/>
        </w:rPr>
        <w:t>Nicht-Erwerbstätige</w:t>
      </w:r>
      <w:r w:rsidR="002C7DC7" w:rsidRPr="002C7DC7">
        <w:rPr>
          <w:rFonts w:ascii="Verdana" w:hAnsi="Verdana"/>
          <w:sz w:val="20"/>
          <w:szCs w:val="20"/>
        </w:rPr>
        <w:t>: Erwe</w:t>
      </w:r>
      <w:r w:rsidR="00B25240">
        <w:rPr>
          <w:rFonts w:ascii="Verdana" w:hAnsi="Verdana"/>
          <w:sz w:val="20"/>
          <w:szCs w:val="20"/>
        </w:rPr>
        <w:t>r</w:t>
      </w:r>
      <w:r w:rsidR="002C7DC7" w:rsidRPr="002C7DC7">
        <w:rPr>
          <w:rFonts w:ascii="Verdana" w:hAnsi="Verdana"/>
          <w:sz w:val="20"/>
          <w:szCs w:val="20"/>
        </w:rPr>
        <w:t xml:space="preserve">bslose plus </w:t>
      </w:r>
      <w:r w:rsidR="002C7DC7" w:rsidRPr="00B25240">
        <w:rPr>
          <w:rFonts w:ascii="Verdana" w:hAnsi="Verdana"/>
          <w:b/>
          <w:sz w:val="20"/>
          <w:szCs w:val="20"/>
        </w:rPr>
        <w:t>Inaktive</w:t>
      </w:r>
      <w:r w:rsidR="002C7DC7" w:rsidRPr="002C7DC7">
        <w:rPr>
          <w:rFonts w:ascii="Verdana" w:hAnsi="Verdana"/>
          <w:sz w:val="20"/>
          <w:szCs w:val="20"/>
        </w:rPr>
        <w:t xml:space="preserve">: </w:t>
      </w:r>
      <w:r w:rsidR="00B25240">
        <w:rPr>
          <w:rFonts w:ascii="Verdana" w:hAnsi="Verdana"/>
          <w:sz w:val="20"/>
          <w:szCs w:val="20"/>
        </w:rPr>
        <w:t>nicht-</w:t>
      </w:r>
      <w:r w:rsidR="002C7DC7" w:rsidRPr="002C7DC7">
        <w:rPr>
          <w:rFonts w:ascii="Verdana" w:hAnsi="Verdana"/>
          <w:sz w:val="20"/>
          <w:szCs w:val="20"/>
        </w:rPr>
        <w:t xml:space="preserve">verfügbar bzw. </w:t>
      </w:r>
      <w:r w:rsidR="00B25240">
        <w:rPr>
          <w:rFonts w:ascii="Verdana" w:hAnsi="Verdana"/>
          <w:sz w:val="20"/>
          <w:szCs w:val="20"/>
        </w:rPr>
        <w:t>arbeitssuchend</w:t>
      </w:r>
      <w:r w:rsidR="002C7DC7" w:rsidRPr="002C7DC7">
        <w:rPr>
          <w:rFonts w:ascii="Verdana" w:hAnsi="Verdana"/>
          <w:sz w:val="20"/>
          <w:szCs w:val="20"/>
        </w:rPr>
        <w:t>.</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Zehn Formen der Arbeitslosigkeit (</w:t>
      </w:r>
      <w:proofErr w:type="spellStart"/>
      <w:r w:rsidRPr="002C7DC7">
        <w:rPr>
          <w:rFonts w:ascii="Verdana" w:eastAsia="Times New Roman" w:hAnsi="Verdana" w:cs="Helvetica"/>
          <w:color w:val="1D2129"/>
          <w:sz w:val="20"/>
          <w:szCs w:val="20"/>
          <w:lang w:eastAsia="de-DE"/>
        </w:rPr>
        <w:t>Dieckheuer</w:t>
      </w:r>
      <w:proofErr w:type="spellEnd"/>
      <w:r w:rsidRPr="002C7DC7">
        <w:rPr>
          <w:rFonts w:ascii="Verdana" w:eastAsia="Times New Roman" w:hAnsi="Verdana" w:cs="Helvetica"/>
          <w:color w:val="1D2129"/>
          <w:sz w:val="20"/>
          <w:szCs w:val="20"/>
          <w:lang w:eastAsia="de-DE"/>
        </w:rPr>
        <w:t xml:space="preserve"> 2003, 268f) werden unterschieden:</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1) Verdeckte Arbeitslosigkeit (</w:t>
      </w:r>
      <w:r w:rsidR="00B25240">
        <w:rPr>
          <w:rFonts w:ascii="Verdana" w:eastAsia="Times New Roman" w:hAnsi="Verdana" w:cs="Helvetica"/>
          <w:color w:val="1D2129"/>
          <w:sz w:val="20"/>
          <w:szCs w:val="20"/>
          <w:lang w:eastAsia="de-DE"/>
        </w:rPr>
        <w:t>nicht-statistisch erfasst</w:t>
      </w:r>
      <w:r w:rsidRPr="002C7DC7">
        <w:rPr>
          <w:rFonts w:ascii="Verdana" w:eastAsia="Times New Roman" w:hAnsi="Verdana" w:cs="Helvetica"/>
          <w:color w:val="1D2129"/>
          <w:sz w:val="20"/>
          <w:szCs w:val="20"/>
          <w:lang w:eastAsia="de-DE"/>
        </w:rPr>
        <w:t xml:space="preserve">, </w:t>
      </w:r>
      <w:r w:rsidR="00B25240">
        <w:rPr>
          <w:rFonts w:ascii="Verdana" w:eastAsia="Times New Roman" w:hAnsi="Verdana" w:cs="Helvetica"/>
          <w:color w:val="1D2129"/>
          <w:sz w:val="20"/>
          <w:szCs w:val="20"/>
          <w:lang w:eastAsia="de-DE"/>
        </w:rPr>
        <w:t>AA-</w:t>
      </w:r>
      <w:r w:rsidRPr="002C7DC7">
        <w:rPr>
          <w:rFonts w:ascii="Verdana" w:eastAsia="Times New Roman" w:hAnsi="Verdana" w:cs="Helvetica"/>
          <w:color w:val="1D2129"/>
          <w:sz w:val="20"/>
          <w:szCs w:val="20"/>
          <w:lang w:eastAsia="de-DE"/>
        </w:rPr>
        <w:t>Fortbildungsmaßnahme)</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2) Saisonale Arbeitslosigkeit</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3) Friktionelle Arbeitslosigkeit (Sucharbeitslosigkeit)</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4) Konjunkturelle Arbeitslosigkeit</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5) Lohnkosteninduzierte Arbeitslosigkeit (zu hohe Löhne)</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6) Strukturelle Arbeitslosigkeit (Qualifikation, Alter, Geschlecht, Strukturwandel</w:t>
      </w:r>
      <w:r w:rsidR="00B25240">
        <w:rPr>
          <w:rFonts w:ascii="Verdana" w:eastAsia="Times New Roman" w:hAnsi="Verdana" w:cs="Helvetica"/>
          <w:color w:val="1D2129"/>
          <w:sz w:val="20"/>
          <w:szCs w:val="20"/>
          <w:lang w:eastAsia="de-DE"/>
        </w:rPr>
        <w:t xml:space="preserve"> usw.</w:t>
      </w:r>
      <w:r w:rsidRPr="002C7DC7">
        <w:rPr>
          <w:rFonts w:ascii="Verdana" w:eastAsia="Times New Roman" w:hAnsi="Verdana" w:cs="Helvetica"/>
          <w:color w:val="1D2129"/>
          <w:sz w:val="20"/>
          <w:szCs w:val="20"/>
          <w:lang w:eastAsia="de-DE"/>
        </w:rPr>
        <w:t>)</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 xml:space="preserve">7) Kapitalmangelarbeitslosigkeit </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8) Arbeitslosigkeit durch externe Schocks</w:t>
      </w:r>
    </w:p>
    <w:p w:rsidR="002C7DC7" w:rsidRPr="002C7DC7" w:rsidRDefault="002C7DC7" w:rsidP="002C7DC7">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9) Sockelarbeitslosigkeit (Gründe: Alter, Behinderte, Gesundheitsstatus des Arbeitslosen)</w:t>
      </w:r>
    </w:p>
    <w:p w:rsidR="002C7DC7" w:rsidRPr="002E34A2" w:rsidRDefault="002C7DC7" w:rsidP="002E34A2">
      <w:pPr>
        <w:shd w:val="clear" w:color="auto" w:fill="FFFFFF"/>
        <w:spacing w:after="0" w:line="240" w:lineRule="auto"/>
        <w:rPr>
          <w:rFonts w:ascii="Verdana" w:eastAsia="Times New Roman" w:hAnsi="Verdana" w:cs="Helvetica"/>
          <w:color w:val="1D2129"/>
          <w:sz w:val="20"/>
          <w:szCs w:val="20"/>
          <w:lang w:eastAsia="de-DE"/>
        </w:rPr>
      </w:pPr>
      <w:r w:rsidRPr="002C7DC7">
        <w:rPr>
          <w:rFonts w:ascii="Verdana" w:eastAsia="Times New Roman" w:hAnsi="Verdana" w:cs="Helvetica"/>
          <w:color w:val="1D2129"/>
          <w:sz w:val="20"/>
          <w:szCs w:val="20"/>
          <w:lang w:eastAsia="de-DE"/>
        </w:rPr>
        <w:t xml:space="preserve">10) Institutionell bedingte Arbeitslosigkeit (Sicherungssysteme </w:t>
      </w:r>
      <w:r w:rsidR="002E34A2">
        <w:rPr>
          <w:rFonts w:ascii="Verdana" w:eastAsia="Times New Roman" w:hAnsi="Verdana" w:cs="Helvetica"/>
          <w:color w:val="1D2129"/>
          <w:sz w:val="20"/>
          <w:szCs w:val="20"/>
          <w:lang w:eastAsia="de-DE"/>
        </w:rPr>
        <w:t>wie Sozialhilfe, Arbeitslosenun</w:t>
      </w:r>
      <w:r w:rsidRPr="002C7DC7">
        <w:rPr>
          <w:rFonts w:ascii="Verdana" w:eastAsia="Times New Roman" w:hAnsi="Verdana" w:cs="Helvetica"/>
          <w:color w:val="1D2129"/>
          <w:sz w:val="20"/>
          <w:szCs w:val="20"/>
          <w:lang w:eastAsia="de-DE"/>
        </w:rPr>
        <w:t>terstützung, Kündigungsschutz, Produktionsauflagen, un</w:t>
      </w:r>
      <w:r w:rsidR="002E34A2">
        <w:rPr>
          <w:rFonts w:ascii="Verdana" w:eastAsia="Times New Roman" w:hAnsi="Verdana" w:cs="Helvetica"/>
          <w:color w:val="1D2129"/>
          <w:sz w:val="20"/>
          <w:szCs w:val="20"/>
          <w:lang w:eastAsia="de-DE"/>
        </w:rPr>
        <w:t>zureichende staatliche Ordnungspolitik wie Wettbewerbspolitik)</w:t>
      </w:r>
      <w:r w:rsidR="002E34A2">
        <w:rPr>
          <w:rFonts w:ascii="Verdana" w:eastAsia="Times New Roman" w:hAnsi="Verdana" w:cs="Helvetica"/>
          <w:color w:val="1D2129"/>
          <w:sz w:val="20"/>
          <w:szCs w:val="20"/>
          <w:lang w:eastAsia="de-DE"/>
        </w:rPr>
        <w:br/>
      </w:r>
    </w:p>
    <w:p w:rsidR="00B25240" w:rsidRDefault="00B25240" w:rsidP="00B25240">
      <w:pPr>
        <w:pStyle w:val="KeinLeerraum"/>
        <w:rPr>
          <w:rFonts w:ascii="Verdana" w:hAnsi="Verdana"/>
          <w:sz w:val="20"/>
          <w:szCs w:val="20"/>
        </w:rPr>
      </w:pPr>
      <w:r w:rsidRPr="00B25240">
        <w:rPr>
          <w:rFonts w:ascii="Verdana" w:hAnsi="Verdana"/>
          <w:sz w:val="20"/>
          <w:szCs w:val="20"/>
        </w:rPr>
        <w:t xml:space="preserve">Auf dem </w:t>
      </w:r>
      <w:r w:rsidRPr="00B25240">
        <w:rPr>
          <w:rFonts w:ascii="Verdana" w:hAnsi="Verdana"/>
          <w:b/>
          <w:sz w:val="20"/>
          <w:szCs w:val="20"/>
        </w:rPr>
        <w:t>Arbeitsmarkt</w:t>
      </w:r>
      <w:r w:rsidRPr="00B25240">
        <w:rPr>
          <w:rFonts w:ascii="Verdana" w:hAnsi="Verdana"/>
          <w:sz w:val="20"/>
          <w:szCs w:val="20"/>
        </w:rPr>
        <w:t xml:space="preserve"> treffen </w:t>
      </w:r>
      <w:r>
        <w:rPr>
          <w:rFonts w:ascii="Verdana" w:hAnsi="Verdana"/>
          <w:sz w:val="20"/>
          <w:szCs w:val="20"/>
        </w:rPr>
        <w:t>Angebot und Nachfrage nach dem Faktor Arbeit</w:t>
      </w:r>
      <w:r w:rsidRPr="00B25240">
        <w:rPr>
          <w:rFonts w:ascii="Verdana" w:hAnsi="Verdana"/>
          <w:sz w:val="20"/>
          <w:szCs w:val="20"/>
        </w:rPr>
        <w:t xml:space="preserve"> aufeinander. Ein Arbeitsmarkt gilt als </w:t>
      </w:r>
      <w:r w:rsidRPr="00B25240">
        <w:rPr>
          <w:rFonts w:ascii="Verdana" w:hAnsi="Verdana"/>
          <w:b/>
          <w:sz w:val="20"/>
          <w:szCs w:val="20"/>
        </w:rPr>
        <w:t>geräumt</w:t>
      </w:r>
      <w:r w:rsidRPr="00B25240">
        <w:rPr>
          <w:rFonts w:ascii="Verdana" w:hAnsi="Verdana"/>
          <w:sz w:val="20"/>
          <w:szCs w:val="20"/>
        </w:rPr>
        <w:t>, wenn das Angebot der Nachfrage entspricht, es liegt keine freiwillige Arbeitslosigkeit vor.</w:t>
      </w:r>
    </w:p>
    <w:p w:rsidR="00B25240" w:rsidRDefault="00B25240" w:rsidP="00B25240">
      <w:pPr>
        <w:pStyle w:val="KeinLeerraum"/>
        <w:rPr>
          <w:rFonts w:ascii="Verdana" w:hAnsi="Verdana"/>
          <w:sz w:val="20"/>
          <w:szCs w:val="20"/>
        </w:rPr>
      </w:pPr>
    </w:p>
    <w:p w:rsidR="00B25240" w:rsidRDefault="00B25240" w:rsidP="00B25240">
      <w:pPr>
        <w:pStyle w:val="KeinLeerraum"/>
        <w:rPr>
          <w:rFonts w:ascii="Verdana" w:hAnsi="Verdana"/>
          <w:sz w:val="20"/>
          <w:szCs w:val="20"/>
        </w:rPr>
      </w:pPr>
      <w:r w:rsidRPr="00B25240">
        <w:rPr>
          <w:rFonts w:ascii="Verdana" w:hAnsi="Verdana"/>
          <w:b/>
          <w:sz w:val="20"/>
          <w:szCs w:val="20"/>
        </w:rPr>
        <w:t>Neoklassischer Arbeitsmarkt</w:t>
      </w:r>
      <w:r>
        <w:rPr>
          <w:rFonts w:ascii="Verdana" w:hAnsi="Verdana"/>
          <w:sz w:val="20"/>
          <w:szCs w:val="20"/>
        </w:rPr>
        <w:t xml:space="preserve">: AL resultiert aus zu hohem </w:t>
      </w:r>
      <w:r w:rsidR="00A835D5">
        <w:rPr>
          <w:rFonts w:ascii="Verdana" w:hAnsi="Verdana"/>
          <w:sz w:val="20"/>
          <w:szCs w:val="20"/>
        </w:rPr>
        <w:t>Nominallohn.</w:t>
      </w:r>
    </w:p>
    <w:p w:rsidR="00B25240" w:rsidRDefault="00B25240" w:rsidP="00B25240">
      <w:pPr>
        <w:pStyle w:val="KeinLeerraum"/>
        <w:rPr>
          <w:rFonts w:ascii="Verdana" w:hAnsi="Verdana"/>
          <w:sz w:val="20"/>
          <w:szCs w:val="20"/>
        </w:rPr>
      </w:pPr>
      <w:r w:rsidRPr="00B25240">
        <w:rPr>
          <w:rFonts w:ascii="Verdana" w:hAnsi="Verdana"/>
          <w:sz w:val="20"/>
          <w:szCs w:val="20"/>
        </w:rPr>
        <w:sym w:font="Wingdings" w:char="F0E0"/>
      </w:r>
      <w:r>
        <w:rPr>
          <w:rFonts w:ascii="Verdana" w:hAnsi="Verdana"/>
          <w:sz w:val="20"/>
          <w:szCs w:val="20"/>
        </w:rPr>
        <w:t>wie ein Gütermarkt: AA und AN werden durch flexible Preise in GG gebracht.</w:t>
      </w:r>
      <w:r>
        <w:rPr>
          <w:rFonts w:ascii="Verdana" w:hAnsi="Verdana"/>
          <w:sz w:val="20"/>
          <w:szCs w:val="20"/>
        </w:rPr>
        <w:br/>
      </w:r>
    </w:p>
    <w:p w:rsidR="00B25240" w:rsidRDefault="00B25240" w:rsidP="00B25240">
      <w:pPr>
        <w:pStyle w:val="KeinLeerraum"/>
        <w:rPr>
          <w:rFonts w:ascii="Verdana" w:hAnsi="Verdana"/>
          <w:sz w:val="20"/>
          <w:szCs w:val="20"/>
        </w:rPr>
      </w:pPr>
      <w:proofErr w:type="spellStart"/>
      <w:r w:rsidRPr="00A835D5">
        <w:rPr>
          <w:rFonts w:ascii="Verdana" w:hAnsi="Verdana"/>
          <w:b/>
          <w:sz w:val="20"/>
          <w:szCs w:val="20"/>
        </w:rPr>
        <w:t>Keynsianischer</w:t>
      </w:r>
      <w:proofErr w:type="spellEnd"/>
      <w:r w:rsidRPr="00A835D5">
        <w:rPr>
          <w:rFonts w:ascii="Verdana" w:hAnsi="Verdana"/>
          <w:b/>
          <w:sz w:val="20"/>
          <w:szCs w:val="20"/>
        </w:rPr>
        <w:t xml:space="preserve"> Arbeitsmarkt</w:t>
      </w:r>
      <w:r>
        <w:rPr>
          <w:rFonts w:ascii="Verdana" w:hAnsi="Verdana"/>
          <w:sz w:val="20"/>
          <w:szCs w:val="20"/>
        </w:rPr>
        <w:t xml:space="preserve">: AL </w:t>
      </w:r>
      <w:r w:rsidR="00A835D5">
        <w:rPr>
          <w:rFonts w:ascii="Verdana" w:hAnsi="Verdana"/>
          <w:sz w:val="20"/>
          <w:szCs w:val="20"/>
        </w:rPr>
        <w:t>resultiert aus zu niedriger Güternachfrage.</w:t>
      </w:r>
      <w:r w:rsidR="00A835D5">
        <w:rPr>
          <w:rFonts w:ascii="Verdana" w:hAnsi="Verdana"/>
          <w:sz w:val="20"/>
          <w:szCs w:val="20"/>
        </w:rPr>
        <w:br/>
      </w:r>
      <w:r w:rsidR="00A835D5" w:rsidRPr="00A835D5">
        <w:rPr>
          <w:rFonts w:ascii="Verdana" w:hAnsi="Verdana"/>
          <w:sz w:val="20"/>
          <w:szCs w:val="20"/>
        </w:rPr>
        <w:sym w:font="Wingdings" w:char="F0E0"/>
      </w:r>
      <w:r w:rsidR="00A835D5">
        <w:rPr>
          <w:rFonts w:ascii="Verdana" w:hAnsi="Verdana"/>
          <w:sz w:val="20"/>
          <w:szCs w:val="20"/>
        </w:rPr>
        <w:t>Es kann unfreiwillige Arbeitslosigkeit geben.</w:t>
      </w:r>
    </w:p>
    <w:p w:rsidR="00A835D5" w:rsidRDefault="00A835D5" w:rsidP="00B25240">
      <w:pPr>
        <w:pStyle w:val="KeinLeerraum"/>
        <w:rPr>
          <w:rFonts w:ascii="Verdana" w:hAnsi="Verdana"/>
          <w:sz w:val="20"/>
          <w:szCs w:val="20"/>
        </w:rPr>
      </w:pPr>
    </w:p>
    <w:p w:rsidR="00A835D5" w:rsidRDefault="00A835D5" w:rsidP="00B25240">
      <w:pPr>
        <w:pStyle w:val="KeinLeerraum"/>
        <w:rPr>
          <w:rFonts w:ascii="Verdana" w:hAnsi="Verdana"/>
          <w:sz w:val="20"/>
          <w:szCs w:val="20"/>
        </w:rPr>
      </w:pPr>
      <w:r w:rsidRPr="00A835D5">
        <w:rPr>
          <w:rFonts w:ascii="Verdana" w:hAnsi="Verdana"/>
          <w:sz w:val="20"/>
          <w:szCs w:val="20"/>
        </w:rPr>
        <w:t>Seit Beginn der 1980er Jahre als Reflex auf die ölpreisinduzierte Wirtschaftskrise mit ihrer persistenten Massenarbeitslosigkeit hat „</w:t>
      </w:r>
      <w:r w:rsidRPr="004C039A">
        <w:rPr>
          <w:rFonts w:ascii="Verdana" w:hAnsi="Verdana"/>
          <w:b/>
          <w:sz w:val="20"/>
          <w:szCs w:val="20"/>
        </w:rPr>
        <w:t>Benchmarking</w:t>
      </w:r>
      <w:r w:rsidRPr="00A835D5">
        <w:rPr>
          <w:rFonts w:ascii="Verdana" w:hAnsi="Verdana"/>
          <w:sz w:val="20"/>
          <w:szCs w:val="20"/>
        </w:rPr>
        <w:t xml:space="preserve">“ </w:t>
      </w:r>
      <w:r w:rsidR="004C039A">
        <w:rPr>
          <w:rFonts w:ascii="Verdana" w:hAnsi="Verdana"/>
          <w:sz w:val="20"/>
          <w:szCs w:val="20"/>
        </w:rPr>
        <w:t>(</w:t>
      </w:r>
      <w:r w:rsidR="004C039A" w:rsidRPr="004C039A">
        <w:rPr>
          <w:rFonts w:ascii="Verdana" w:hAnsi="Verdana"/>
          <w:b/>
          <w:sz w:val="20"/>
          <w:szCs w:val="20"/>
        </w:rPr>
        <w:t>Bezugswertanalyse</w:t>
      </w:r>
      <w:r w:rsidR="004C039A">
        <w:rPr>
          <w:rFonts w:ascii="Verdana" w:hAnsi="Verdana"/>
          <w:sz w:val="20"/>
          <w:szCs w:val="20"/>
        </w:rPr>
        <w:t xml:space="preserve">) </w:t>
      </w:r>
      <w:r w:rsidRPr="00A835D5">
        <w:rPr>
          <w:rFonts w:ascii="Verdana" w:hAnsi="Verdana"/>
          <w:sz w:val="20"/>
          <w:szCs w:val="20"/>
        </w:rPr>
        <w:t>aufgrund der zunehmenden Globalisierung (Zunahme internationaler Verflechtungen) und der sogenannten „</w:t>
      </w:r>
      <w:proofErr w:type="spellStart"/>
      <w:r w:rsidRPr="00A835D5">
        <w:rPr>
          <w:rFonts w:ascii="Verdana" w:hAnsi="Verdana"/>
          <w:sz w:val="20"/>
          <w:szCs w:val="20"/>
        </w:rPr>
        <w:t>Eurosclerosis</w:t>
      </w:r>
      <w:proofErr w:type="spellEnd"/>
      <w:r w:rsidRPr="00A835D5">
        <w:rPr>
          <w:rFonts w:ascii="Verdana" w:hAnsi="Verdana"/>
          <w:sz w:val="20"/>
          <w:szCs w:val="20"/>
        </w:rPr>
        <w:t xml:space="preserve">“ (Wachstumsschwäche, ausbleibende Reformen) zugenommen. Eine Standortdebatte wurde aktiviert, um vor allem einen kritischen Blick auf unterschiedliche Regulierungen im Vergleich zu anderen Staaten und hauptsächlich zu den </w:t>
      </w:r>
      <w:r w:rsidR="005545B0">
        <w:rPr>
          <w:rFonts w:ascii="Verdana" w:hAnsi="Verdana"/>
          <w:sz w:val="20"/>
          <w:szCs w:val="20"/>
        </w:rPr>
        <w:t xml:space="preserve">(anpassungsfähigere) </w:t>
      </w:r>
      <w:r w:rsidRPr="00A835D5">
        <w:rPr>
          <w:rFonts w:ascii="Verdana" w:hAnsi="Verdana"/>
          <w:sz w:val="20"/>
          <w:szCs w:val="20"/>
        </w:rPr>
        <w:t xml:space="preserve">USA zu werfen. Seit langen richten Politiker ihren Blick zunehmend auf makroökonomische Vorbildstaaten mittels </w:t>
      </w:r>
      <w:proofErr w:type="spellStart"/>
      <w:r w:rsidRPr="004C039A">
        <w:rPr>
          <w:rFonts w:ascii="Verdana" w:hAnsi="Verdana"/>
          <w:b/>
          <w:i/>
          <w:sz w:val="20"/>
          <w:szCs w:val="20"/>
        </w:rPr>
        <w:t>institutional</w:t>
      </w:r>
      <w:proofErr w:type="spellEnd"/>
      <w:r w:rsidRPr="004C039A">
        <w:rPr>
          <w:rFonts w:ascii="Verdana" w:hAnsi="Verdana"/>
          <w:b/>
          <w:i/>
          <w:sz w:val="20"/>
          <w:szCs w:val="20"/>
        </w:rPr>
        <w:t xml:space="preserve"> </w:t>
      </w:r>
      <w:proofErr w:type="spellStart"/>
      <w:r w:rsidRPr="004C039A">
        <w:rPr>
          <w:rFonts w:ascii="Verdana" w:hAnsi="Verdana"/>
          <w:b/>
          <w:i/>
          <w:sz w:val="20"/>
          <w:szCs w:val="20"/>
        </w:rPr>
        <w:t>learning</w:t>
      </w:r>
      <w:proofErr w:type="spellEnd"/>
      <w:r w:rsidRPr="00A835D5">
        <w:rPr>
          <w:rFonts w:ascii="Verdana" w:hAnsi="Verdana"/>
          <w:sz w:val="20"/>
          <w:szCs w:val="20"/>
        </w:rPr>
        <w:t>. Erfolgreiche institutionelle Regelungen dritter Länder dienen dann als makroökonomische Legitimationsbasis für institutionelle Reformen im weniger effektiven Land.</w:t>
      </w:r>
    </w:p>
    <w:p w:rsidR="004C039A" w:rsidRDefault="004C039A" w:rsidP="00B25240">
      <w:pPr>
        <w:pStyle w:val="KeinLeerraum"/>
        <w:rPr>
          <w:rFonts w:ascii="Verdana" w:hAnsi="Verdana"/>
          <w:sz w:val="20"/>
          <w:szCs w:val="20"/>
        </w:rPr>
      </w:pPr>
    </w:p>
    <w:p w:rsidR="004C039A" w:rsidRDefault="004C039A" w:rsidP="00B25240">
      <w:pPr>
        <w:pStyle w:val="KeinLeerraum"/>
        <w:rPr>
          <w:rFonts w:ascii="Verdana" w:hAnsi="Verdana"/>
          <w:sz w:val="20"/>
          <w:szCs w:val="20"/>
        </w:rPr>
      </w:pPr>
      <w:r w:rsidRPr="004C039A">
        <w:rPr>
          <w:rFonts w:ascii="Verdana" w:hAnsi="Verdana"/>
          <w:sz w:val="20"/>
          <w:szCs w:val="20"/>
        </w:rPr>
        <w:t xml:space="preserve">Ein </w:t>
      </w:r>
      <w:proofErr w:type="spellStart"/>
      <w:r w:rsidRPr="004C039A">
        <w:rPr>
          <w:rFonts w:ascii="Verdana" w:hAnsi="Verdana"/>
          <w:b/>
          <w:i/>
          <w:sz w:val="20"/>
          <w:szCs w:val="20"/>
        </w:rPr>
        <w:t>institutional</w:t>
      </w:r>
      <w:proofErr w:type="spellEnd"/>
      <w:r w:rsidRPr="004C039A">
        <w:rPr>
          <w:rFonts w:ascii="Verdana" w:hAnsi="Verdana"/>
          <w:b/>
          <w:i/>
          <w:sz w:val="20"/>
          <w:szCs w:val="20"/>
        </w:rPr>
        <w:t xml:space="preserve"> </w:t>
      </w:r>
      <w:proofErr w:type="spellStart"/>
      <w:r w:rsidRPr="004C039A">
        <w:rPr>
          <w:rFonts w:ascii="Verdana" w:hAnsi="Verdana"/>
          <w:b/>
          <w:i/>
          <w:sz w:val="20"/>
          <w:szCs w:val="20"/>
        </w:rPr>
        <w:t>learning</w:t>
      </w:r>
      <w:proofErr w:type="spellEnd"/>
      <w:r w:rsidRPr="004C039A">
        <w:rPr>
          <w:rFonts w:ascii="Verdana" w:hAnsi="Verdana"/>
          <w:sz w:val="20"/>
          <w:szCs w:val="20"/>
        </w:rPr>
        <w:t xml:space="preserve"> ist nur dann möglich, wenn Volkswirtschaften ähnliche Bedingungen aufweisen (Entwicklungs-, Schwellen- oder Industriestaaten</w:t>
      </w:r>
      <w:r>
        <w:rPr>
          <w:rFonts w:ascii="Verdana" w:hAnsi="Verdana"/>
          <w:sz w:val="20"/>
          <w:szCs w:val="20"/>
        </w:rPr>
        <w:t xml:space="preserve"> sind</w:t>
      </w:r>
      <w:r w:rsidRPr="004C039A">
        <w:rPr>
          <w:rFonts w:ascii="Verdana" w:hAnsi="Verdana"/>
          <w:sz w:val="20"/>
          <w:szCs w:val="20"/>
        </w:rPr>
        <w:t>). Eine „</w:t>
      </w:r>
      <w:proofErr w:type="spellStart"/>
      <w:r w:rsidRPr="004C039A">
        <w:rPr>
          <w:rFonts w:ascii="Verdana" w:hAnsi="Verdana"/>
          <w:b/>
          <w:i/>
          <w:sz w:val="20"/>
          <w:szCs w:val="20"/>
        </w:rPr>
        <w:t>one</w:t>
      </w:r>
      <w:proofErr w:type="spellEnd"/>
      <w:r w:rsidRPr="004C039A">
        <w:rPr>
          <w:rFonts w:ascii="Verdana" w:hAnsi="Verdana"/>
          <w:b/>
          <w:i/>
          <w:sz w:val="20"/>
          <w:szCs w:val="20"/>
        </w:rPr>
        <w:t>-best-</w:t>
      </w:r>
      <w:proofErr w:type="spellStart"/>
      <w:r w:rsidRPr="004C039A">
        <w:rPr>
          <w:rFonts w:ascii="Verdana" w:hAnsi="Verdana"/>
          <w:b/>
          <w:i/>
          <w:sz w:val="20"/>
          <w:szCs w:val="20"/>
        </w:rPr>
        <w:t>way</w:t>
      </w:r>
      <w:proofErr w:type="spellEnd"/>
      <w:r w:rsidRPr="004C039A">
        <w:rPr>
          <w:rFonts w:ascii="Verdana" w:hAnsi="Verdana"/>
          <w:b/>
          <w:sz w:val="20"/>
          <w:szCs w:val="20"/>
        </w:rPr>
        <w:t>-These</w:t>
      </w:r>
      <w:r w:rsidRPr="004C039A">
        <w:rPr>
          <w:rFonts w:ascii="Verdana" w:hAnsi="Verdana"/>
          <w:sz w:val="20"/>
          <w:szCs w:val="20"/>
        </w:rPr>
        <w:t xml:space="preserve">“ (Zentralisierung) für alle Staaten konnte bislang nirgends empirisch nachgewiesen werden. </w:t>
      </w:r>
      <w:r>
        <w:rPr>
          <w:rFonts w:ascii="Verdana" w:hAnsi="Verdana"/>
          <w:sz w:val="20"/>
          <w:szCs w:val="20"/>
        </w:rPr>
        <w:t xml:space="preserve">Beispiel: Der wenig regulierte Arbeitsmarkt der USA einerseits und </w:t>
      </w:r>
      <w:proofErr w:type="spellStart"/>
      <w:r>
        <w:rPr>
          <w:rFonts w:ascii="Verdana" w:hAnsi="Verdana"/>
          <w:sz w:val="20"/>
          <w:szCs w:val="20"/>
        </w:rPr>
        <w:t>Dänemarkt</w:t>
      </w:r>
      <w:proofErr w:type="spellEnd"/>
      <w:r>
        <w:rPr>
          <w:rFonts w:ascii="Verdana" w:hAnsi="Verdana"/>
          <w:sz w:val="20"/>
          <w:szCs w:val="20"/>
        </w:rPr>
        <w:t xml:space="preserve"> und die Niederlande mit ihrer kooperativen Politik zwischen Arbeitgeber, Gewerkschaften und Staatsvertretern andererseits.</w:t>
      </w:r>
    </w:p>
    <w:p w:rsidR="004C039A" w:rsidRDefault="004C039A" w:rsidP="00B25240">
      <w:pPr>
        <w:pStyle w:val="KeinLeerraum"/>
        <w:rPr>
          <w:rFonts w:ascii="Verdana" w:hAnsi="Verdana"/>
          <w:sz w:val="20"/>
          <w:szCs w:val="20"/>
        </w:rPr>
      </w:pPr>
    </w:p>
    <w:p w:rsidR="005545B0" w:rsidRDefault="005545B0">
      <w:pPr>
        <w:pStyle w:val="KeinLeerraum"/>
        <w:rPr>
          <w:rFonts w:ascii="Verdana" w:hAnsi="Verdana"/>
          <w:sz w:val="20"/>
          <w:szCs w:val="20"/>
        </w:rPr>
      </w:pPr>
      <w:r w:rsidRPr="005545B0">
        <w:rPr>
          <w:rFonts w:ascii="Verdana" w:hAnsi="Verdana"/>
          <w:b/>
          <w:i/>
          <w:iCs/>
          <w:sz w:val="20"/>
          <w:szCs w:val="20"/>
        </w:rPr>
        <w:t>Arbeitsmarktpolitik</w:t>
      </w:r>
      <w:r w:rsidRPr="005545B0">
        <w:rPr>
          <w:rFonts w:ascii="Verdana" w:hAnsi="Verdana"/>
          <w:sz w:val="20"/>
          <w:szCs w:val="20"/>
        </w:rPr>
        <w:t xml:space="preserve"> umfasst alle Maßnahmen zum Ausgleich von Arbeitsnachfrage und Arbeitsangebot</w:t>
      </w:r>
      <w:r>
        <w:rPr>
          <w:rFonts w:ascii="Verdana" w:hAnsi="Verdana"/>
          <w:sz w:val="20"/>
          <w:szCs w:val="20"/>
        </w:rPr>
        <w:t xml:space="preserve"> (Vollbeschäftigung).</w:t>
      </w:r>
      <w:r>
        <w:rPr>
          <w:rFonts w:ascii="Verdana" w:hAnsi="Verdana"/>
          <w:sz w:val="20"/>
          <w:szCs w:val="20"/>
        </w:rPr>
        <w:br/>
      </w:r>
      <w:r w:rsidRPr="005545B0">
        <w:rPr>
          <w:rFonts w:ascii="Verdana" w:hAnsi="Verdana"/>
          <w:b/>
          <w:sz w:val="20"/>
          <w:szCs w:val="20"/>
        </w:rPr>
        <w:t>aktive Maßnahmen</w:t>
      </w:r>
      <w:r>
        <w:rPr>
          <w:rFonts w:ascii="Verdana" w:hAnsi="Verdana"/>
          <w:sz w:val="20"/>
          <w:szCs w:val="20"/>
        </w:rPr>
        <w:t>: Weiterbildung, Umschulung, Mobilitätsförderung (antizipierend)</w:t>
      </w:r>
      <w:r>
        <w:rPr>
          <w:rFonts w:ascii="Verdana" w:hAnsi="Verdana"/>
          <w:sz w:val="20"/>
          <w:szCs w:val="20"/>
        </w:rPr>
        <w:br/>
      </w:r>
      <w:r w:rsidRPr="005545B0">
        <w:rPr>
          <w:rFonts w:ascii="Verdana" w:hAnsi="Verdana"/>
          <w:b/>
          <w:sz w:val="20"/>
          <w:szCs w:val="20"/>
        </w:rPr>
        <w:t>passive Maßnahmen</w:t>
      </w:r>
      <w:r>
        <w:rPr>
          <w:rFonts w:ascii="Verdana" w:hAnsi="Verdana"/>
          <w:sz w:val="20"/>
          <w:szCs w:val="20"/>
        </w:rPr>
        <w:t>: Arbeitslosengeld, Sozialhilfe (kompensierend)</w:t>
      </w:r>
    </w:p>
    <w:p w:rsidR="005545B0" w:rsidRDefault="005545B0">
      <w:pPr>
        <w:pStyle w:val="KeinLeerraum"/>
        <w:rPr>
          <w:rFonts w:ascii="Verdana" w:hAnsi="Verdana"/>
          <w:sz w:val="20"/>
          <w:szCs w:val="20"/>
        </w:rPr>
      </w:pPr>
      <w:r w:rsidRPr="005545B0">
        <w:rPr>
          <w:rFonts w:ascii="Verdana" w:hAnsi="Verdana"/>
          <w:sz w:val="20"/>
          <w:szCs w:val="20"/>
        </w:rPr>
        <w:sym w:font="Wingdings" w:char="F0E0"/>
      </w:r>
      <w:r>
        <w:rPr>
          <w:rFonts w:ascii="Verdana" w:hAnsi="Verdana"/>
          <w:sz w:val="20"/>
          <w:szCs w:val="20"/>
        </w:rPr>
        <w:t>Ziel ist auch Senkung fiskalischer Kosten, Erhöhung von Wachstum und Wettbewerbsfähigkeit</w:t>
      </w:r>
    </w:p>
    <w:p w:rsidR="005545B0" w:rsidRDefault="005545B0">
      <w:pPr>
        <w:pStyle w:val="KeinLeerraum"/>
        <w:rPr>
          <w:rFonts w:ascii="Verdana" w:hAnsi="Verdana"/>
          <w:sz w:val="20"/>
          <w:szCs w:val="20"/>
        </w:rPr>
      </w:pPr>
    </w:p>
    <w:p w:rsidR="005545B0" w:rsidRDefault="00907D2F">
      <w:pPr>
        <w:pStyle w:val="KeinLeerraum"/>
        <w:rPr>
          <w:rFonts w:ascii="Verdana" w:hAnsi="Verdana"/>
          <w:sz w:val="20"/>
          <w:szCs w:val="20"/>
        </w:rPr>
      </w:pPr>
      <w:r w:rsidRPr="00907D2F">
        <w:rPr>
          <w:rFonts w:ascii="Verdana" w:hAnsi="Verdana"/>
          <w:b/>
          <w:i/>
          <w:sz w:val="20"/>
          <w:szCs w:val="20"/>
        </w:rPr>
        <w:lastRenderedPageBreak/>
        <w:t>Beschäftigungspolitik</w:t>
      </w:r>
      <w:r>
        <w:rPr>
          <w:rFonts w:ascii="Verdana" w:hAnsi="Verdana"/>
          <w:sz w:val="20"/>
          <w:szCs w:val="20"/>
        </w:rPr>
        <w:t>:</w:t>
      </w:r>
      <w:r>
        <w:rPr>
          <w:rFonts w:ascii="Verdana" w:hAnsi="Verdana"/>
          <w:sz w:val="20"/>
          <w:szCs w:val="20"/>
        </w:rPr>
        <w:br/>
      </w:r>
      <w:proofErr w:type="spellStart"/>
      <w:r w:rsidRPr="00907D2F">
        <w:rPr>
          <w:rFonts w:ascii="Verdana" w:hAnsi="Verdana"/>
          <w:b/>
          <w:sz w:val="20"/>
          <w:szCs w:val="20"/>
        </w:rPr>
        <w:t>angebortsorientierte</w:t>
      </w:r>
      <w:proofErr w:type="spellEnd"/>
      <w:r w:rsidRPr="00907D2F">
        <w:rPr>
          <w:rFonts w:ascii="Verdana" w:hAnsi="Verdana"/>
          <w:b/>
          <w:sz w:val="20"/>
          <w:szCs w:val="20"/>
        </w:rPr>
        <w:t xml:space="preserve"> Maßnahmen</w:t>
      </w:r>
      <w:r>
        <w:rPr>
          <w:rFonts w:ascii="Verdana" w:hAnsi="Verdana"/>
          <w:sz w:val="20"/>
          <w:szCs w:val="20"/>
        </w:rPr>
        <w:t>: bessere Investitionsmöglichkeiten, Deregulierungsmaßnahmen, Liberalisierung des Ladenschlussgesetzes.</w:t>
      </w:r>
      <w:r>
        <w:rPr>
          <w:rFonts w:ascii="Verdana" w:hAnsi="Verdana"/>
          <w:sz w:val="20"/>
          <w:szCs w:val="20"/>
        </w:rPr>
        <w:br/>
      </w:r>
      <w:r w:rsidRPr="00907D2F">
        <w:rPr>
          <w:rFonts w:ascii="Verdana" w:hAnsi="Verdana"/>
          <w:b/>
          <w:sz w:val="20"/>
          <w:szCs w:val="20"/>
        </w:rPr>
        <w:t>nachfrageorientierte Maßnahmen</w:t>
      </w:r>
      <w:r>
        <w:rPr>
          <w:rFonts w:ascii="Verdana" w:hAnsi="Verdana"/>
          <w:sz w:val="20"/>
          <w:szCs w:val="20"/>
        </w:rPr>
        <w:t>: staatliche Investitionen, Arbeitsbeschäftigungsmaßnahmen, Beschäftigungsprogramme.</w:t>
      </w:r>
    </w:p>
    <w:p w:rsidR="00907D2F" w:rsidRDefault="00907D2F">
      <w:pPr>
        <w:pStyle w:val="KeinLeerraum"/>
        <w:rPr>
          <w:rFonts w:ascii="Verdana" w:hAnsi="Verdana"/>
          <w:sz w:val="20"/>
          <w:szCs w:val="20"/>
        </w:rPr>
      </w:pPr>
    </w:p>
    <w:p w:rsidR="00A96C5A" w:rsidRDefault="00907D2F">
      <w:pPr>
        <w:pStyle w:val="KeinLeerraum"/>
        <w:rPr>
          <w:rFonts w:ascii="Verdana" w:hAnsi="Verdana"/>
          <w:sz w:val="20"/>
          <w:szCs w:val="20"/>
        </w:rPr>
      </w:pPr>
      <w:r w:rsidRPr="00A96C5A">
        <w:rPr>
          <w:rFonts w:ascii="Verdana" w:hAnsi="Verdana"/>
          <w:sz w:val="20"/>
          <w:szCs w:val="20"/>
        </w:rPr>
        <w:t xml:space="preserve">Beide Politiken zielen letztlich auf die Räumung des Arbeitsmarktes, die auch für die EU zutreffen. Auffallend ist hier vor allem </w:t>
      </w:r>
      <w:r w:rsidR="00A96C5A" w:rsidRPr="00A96C5A">
        <w:rPr>
          <w:rFonts w:ascii="Verdana" w:hAnsi="Verdana"/>
          <w:sz w:val="20"/>
          <w:szCs w:val="20"/>
        </w:rPr>
        <w:t>das Problem der</w:t>
      </w:r>
      <w:r w:rsidRPr="00A96C5A">
        <w:rPr>
          <w:rFonts w:ascii="Verdana" w:hAnsi="Verdana"/>
          <w:sz w:val="20"/>
          <w:szCs w:val="20"/>
        </w:rPr>
        <w:t xml:space="preserve"> ungewöhnlich hohe</w:t>
      </w:r>
      <w:r w:rsidR="00A96C5A" w:rsidRPr="00A96C5A">
        <w:rPr>
          <w:rFonts w:ascii="Verdana" w:hAnsi="Verdana"/>
          <w:sz w:val="20"/>
          <w:szCs w:val="20"/>
        </w:rPr>
        <w:t>n</w:t>
      </w:r>
      <w:r w:rsidRPr="00A96C5A">
        <w:rPr>
          <w:rFonts w:ascii="Verdana" w:hAnsi="Verdana"/>
          <w:sz w:val="20"/>
          <w:szCs w:val="20"/>
        </w:rPr>
        <w:t xml:space="preserve"> </w:t>
      </w:r>
      <w:r w:rsidRPr="00A96C5A">
        <w:rPr>
          <w:rFonts w:ascii="Verdana" w:hAnsi="Verdana"/>
          <w:b/>
          <w:sz w:val="20"/>
          <w:szCs w:val="20"/>
        </w:rPr>
        <w:t xml:space="preserve">Arbeitslosigkeit </w:t>
      </w:r>
      <w:r w:rsidRPr="00A96C5A">
        <w:rPr>
          <w:rFonts w:ascii="Verdana" w:hAnsi="Verdana"/>
          <w:b/>
          <w:i/>
          <w:sz w:val="20"/>
          <w:szCs w:val="20"/>
        </w:rPr>
        <w:t>unter Jugendlichen</w:t>
      </w:r>
      <w:r w:rsidRPr="00A96C5A">
        <w:rPr>
          <w:rFonts w:ascii="Verdana" w:hAnsi="Verdana"/>
          <w:sz w:val="20"/>
          <w:szCs w:val="20"/>
        </w:rPr>
        <w:t xml:space="preserve"> in den Krisenstaaten, </w:t>
      </w:r>
      <w:r w:rsidR="00A96C5A" w:rsidRPr="00A96C5A">
        <w:rPr>
          <w:rFonts w:ascii="Verdana" w:hAnsi="Verdana"/>
          <w:sz w:val="20"/>
          <w:szCs w:val="20"/>
        </w:rPr>
        <w:t>das sich mit der Finanzmarktkrise 2008 noch einmal erheblich verschärfte.</w:t>
      </w:r>
    </w:p>
    <w:p w:rsidR="00A96C5A" w:rsidRDefault="00A96C5A">
      <w:pPr>
        <w:pStyle w:val="KeinLeerraum"/>
        <w:rPr>
          <w:rFonts w:ascii="Verdana" w:hAnsi="Verdana"/>
          <w:sz w:val="20"/>
          <w:szCs w:val="20"/>
        </w:rPr>
      </w:pPr>
    </w:p>
    <w:p w:rsidR="00A96C5A" w:rsidRDefault="00A96C5A">
      <w:pPr>
        <w:pStyle w:val="KeinLeerraum"/>
        <w:rPr>
          <w:rFonts w:ascii="Verdana" w:hAnsi="Verdana"/>
          <w:sz w:val="20"/>
          <w:szCs w:val="20"/>
        </w:rPr>
      </w:pPr>
      <w:r>
        <w:rPr>
          <w:rFonts w:ascii="Verdana" w:hAnsi="Verdana"/>
          <w:sz w:val="20"/>
          <w:szCs w:val="20"/>
        </w:rPr>
        <w:t>-</w:t>
      </w:r>
    </w:p>
    <w:p w:rsidR="00A96C5A" w:rsidRDefault="00A96C5A">
      <w:pPr>
        <w:pStyle w:val="KeinLeerraum"/>
        <w:rPr>
          <w:rFonts w:ascii="Verdana" w:hAnsi="Verdana"/>
          <w:sz w:val="20"/>
          <w:szCs w:val="20"/>
        </w:rPr>
      </w:pPr>
    </w:p>
    <w:p w:rsidR="00A96C5A" w:rsidRPr="00F17D35" w:rsidRDefault="00A96C5A">
      <w:pPr>
        <w:pStyle w:val="KeinLeerraum"/>
        <w:rPr>
          <w:rFonts w:ascii="Verdana" w:hAnsi="Verdana"/>
          <w:b/>
          <w:sz w:val="20"/>
          <w:szCs w:val="20"/>
          <w:u w:val="single"/>
        </w:rPr>
      </w:pPr>
      <w:r w:rsidRPr="00F17D35">
        <w:rPr>
          <w:rFonts w:ascii="Verdana" w:hAnsi="Verdana"/>
          <w:b/>
          <w:sz w:val="20"/>
          <w:szCs w:val="20"/>
          <w:u w:val="single"/>
        </w:rPr>
        <w:t>Offene Methode der Koordinierung</w:t>
      </w:r>
    </w:p>
    <w:p w:rsidR="00A96C5A" w:rsidRDefault="00A96C5A">
      <w:pPr>
        <w:pStyle w:val="KeinLeerraum"/>
        <w:rPr>
          <w:rFonts w:ascii="Verdana" w:hAnsi="Verdana"/>
          <w:sz w:val="20"/>
          <w:szCs w:val="20"/>
        </w:rPr>
      </w:pPr>
    </w:p>
    <w:p w:rsidR="00B74AF5" w:rsidRPr="00B74AF5" w:rsidRDefault="00A96C5A" w:rsidP="00B74AF5">
      <w:pPr>
        <w:pStyle w:val="KeinLeerraum"/>
        <w:rPr>
          <w:rFonts w:ascii="Verdana" w:hAnsi="Verdana"/>
          <w:i/>
          <w:sz w:val="20"/>
          <w:szCs w:val="20"/>
        </w:rPr>
      </w:pPr>
      <w:r>
        <w:rPr>
          <w:rFonts w:ascii="Verdana" w:hAnsi="Verdana"/>
          <w:sz w:val="20"/>
          <w:szCs w:val="20"/>
        </w:rPr>
        <w:t>OMK</w:t>
      </w:r>
      <w:r w:rsidR="00F17D35">
        <w:rPr>
          <w:rFonts w:ascii="Verdana" w:hAnsi="Verdana"/>
          <w:sz w:val="20"/>
          <w:szCs w:val="20"/>
        </w:rPr>
        <w:t>:</w:t>
      </w:r>
      <w:r>
        <w:rPr>
          <w:rFonts w:ascii="Verdana" w:hAnsi="Verdana"/>
          <w:sz w:val="20"/>
          <w:szCs w:val="20"/>
        </w:rPr>
        <w:t xml:space="preserve"> </w:t>
      </w:r>
      <w:r w:rsidR="00B74AF5">
        <w:rPr>
          <w:rFonts w:ascii="Verdana" w:hAnsi="Verdana"/>
          <w:b/>
          <w:sz w:val="20"/>
          <w:szCs w:val="20"/>
        </w:rPr>
        <w:t>Handlungsform</w:t>
      </w:r>
      <w:r w:rsidR="00F17D35" w:rsidRPr="00B74AF5">
        <w:rPr>
          <w:rFonts w:ascii="Verdana" w:hAnsi="Verdana"/>
          <w:b/>
          <w:sz w:val="20"/>
          <w:szCs w:val="20"/>
        </w:rPr>
        <w:t xml:space="preserve"> der Europäischen Union</w:t>
      </w:r>
      <w:r w:rsidR="00B74AF5">
        <w:rPr>
          <w:rFonts w:ascii="Verdana" w:hAnsi="Verdana"/>
          <w:sz w:val="20"/>
          <w:szCs w:val="20"/>
        </w:rPr>
        <w:t xml:space="preserve">, fungiert als potentieller Ersatz eines fehlenden Mandats zur europäischen Wirtschaftspolitik: </w:t>
      </w:r>
      <w:r w:rsidR="00B74AF5" w:rsidRPr="00B74AF5">
        <w:rPr>
          <w:rFonts w:ascii="Verdana" w:hAnsi="Verdana"/>
          <w:sz w:val="20"/>
          <w:szCs w:val="20"/>
        </w:rPr>
        <w:t>Mandatsfreie EU-Bereiche: Forschungs- und Entwicklungs-, Arbeitsmarkt-, Beschäftigungspolitik usw.</w:t>
      </w:r>
      <w:r w:rsidR="00B74AF5">
        <w:rPr>
          <w:rFonts w:ascii="Verdana" w:hAnsi="Verdana"/>
          <w:sz w:val="20"/>
          <w:szCs w:val="20"/>
        </w:rPr>
        <w:br/>
      </w:r>
      <w:r w:rsidR="00B74AF5" w:rsidRPr="00B74AF5">
        <w:rPr>
          <w:rFonts w:ascii="Verdana" w:hAnsi="Verdana"/>
          <w:sz w:val="20"/>
          <w:szCs w:val="20"/>
        </w:rPr>
        <w:sym w:font="Wingdings" w:char="F0E0"/>
      </w:r>
      <w:r w:rsidR="00B74AF5">
        <w:rPr>
          <w:rFonts w:ascii="Verdana" w:hAnsi="Verdana"/>
          <w:sz w:val="20"/>
          <w:szCs w:val="20"/>
        </w:rPr>
        <w:t xml:space="preserve">soft </w:t>
      </w:r>
      <w:proofErr w:type="spellStart"/>
      <w:r w:rsidR="00B74AF5">
        <w:rPr>
          <w:rFonts w:ascii="Verdana" w:hAnsi="Verdana"/>
          <w:sz w:val="20"/>
          <w:szCs w:val="20"/>
        </w:rPr>
        <w:t>law</w:t>
      </w:r>
      <w:proofErr w:type="spellEnd"/>
      <w:r w:rsidR="00B74AF5">
        <w:rPr>
          <w:rFonts w:ascii="Verdana" w:hAnsi="Verdana"/>
          <w:sz w:val="20"/>
          <w:szCs w:val="20"/>
        </w:rPr>
        <w:t xml:space="preserve">, weiche Steuerungsmodi </w:t>
      </w:r>
      <w:r w:rsidR="00B74AF5" w:rsidRPr="007014D2">
        <w:rPr>
          <w:rFonts w:ascii="Verdana" w:hAnsi="Verdana"/>
          <w:b/>
          <w:sz w:val="20"/>
          <w:szCs w:val="20"/>
        </w:rPr>
        <w:t>ohne unmittelbare Verbindlichkeit</w:t>
      </w:r>
      <w:r w:rsidR="00B74AF5">
        <w:rPr>
          <w:rFonts w:ascii="Verdana" w:hAnsi="Verdana"/>
          <w:sz w:val="20"/>
          <w:szCs w:val="20"/>
        </w:rPr>
        <w:t>, wirken als additive Elemente zur nationalen Wirtschaftspolitik.</w:t>
      </w:r>
      <w:r w:rsidR="007014D2">
        <w:rPr>
          <w:rFonts w:ascii="Verdana" w:hAnsi="Verdana"/>
          <w:sz w:val="20"/>
          <w:szCs w:val="20"/>
        </w:rPr>
        <w:br/>
      </w:r>
      <w:r w:rsidR="007014D2" w:rsidRPr="007014D2">
        <w:rPr>
          <w:rFonts w:ascii="Verdana" w:hAnsi="Verdana"/>
          <w:sz w:val="20"/>
          <w:szCs w:val="20"/>
        </w:rPr>
        <w:sym w:font="Wingdings" w:char="F0E0"/>
      </w:r>
      <w:r w:rsidR="007014D2">
        <w:rPr>
          <w:rFonts w:ascii="Verdana" w:hAnsi="Verdana"/>
          <w:sz w:val="20"/>
          <w:szCs w:val="20"/>
        </w:rPr>
        <w:t>Beibehaltung staatlicher Souveränität</w:t>
      </w:r>
    </w:p>
    <w:p w:rsidR="00B74AF5" w:rsidRDefault="00B74AF5" w:rsidP="00B74AF5">
      <w:pPr>
        <w:pStyle w:val="KeinLeerraum"/>
        <w:rPr>
          <w:rFonts w:ascii="Verdana" w:hAnsi="Verdana"/>
          <w:sz w:val="20"/>
          <w:szCs w:val="20"/>
        </w:rPr>
      </w:pPr>
    </w:p>
    <w:p w:rsidR="00B74AF5" w:rsidRDefault="00D7614B" w:rsidP="00B74AF5">
      <w:pPr>
        <w:pStyle w:val="KeinLeerraum"/>
        <w:rPr>
          <w:rFonts w:ascii="Verdana" w:hAnsi="Verdana"/>
          <w:sz w:val="20"/>
          <w:szCs w:val="20"/>
        </w:rPr>
      </w:pPr>
      <w:r w:rsidRPr="00D7614B">
        <w:rPr>
          <w:rFonts w:ascii="Verdana" w:hAnsi="Verdana"/>
          <w:b/>
          <w:sz w:val="20"/>
          <w:szCs w:val="20"/>
        </w:rPr>
        <w:t xml:space="preserve">Monitoring / </w:t>
      </w:r>
      <w:r w:rsidR="00B74AF5" w:rsidRPr="00D7614B">
        <w:rPr>
          <w:rFonts w:ascii="Verdana" w:hAnsi="Verdana"/>
          <w:b/>
          <w:sz w:val="20"/>
          <w:szCs w:val="20"/>
        </w:rPr>
        <w:t>Benchmarks</w:t>
      </w:r>
      <w:r w:rsidR="00B74AF5">
        <w:rPr>
          <w:rFonts w:ascii="Verdana" w:hAnsi="Verdana"/>
          <w:sz w:val="20"/>
          <w:szCs w:val="20"/>
        </w:rPr>
        <w:t>: Die Kommission prüft, ob die Mitgliedsstaaten die in den Leitlinien</w:t>
      </w:r>
      <w:r w:rsidR="00643C52">
        <w:rPr>
          <w:rFonts w:ascii="Verdana" w:hAnsi="Verdana"/>
          <w:sz w:val="20"/>
          <w:szCs w:val="20"/>
        </w:rPr>
        <w:t xml:space="preserve"> enthaltenen Ziele erreichen (</w:t>
      </w:r>
      <w:proofErr w:type="spellStart"/>
      <w:r w:rsidR="00643C52">
        <w:rPr>
          <w:rFonts w:ascii="Verdana" w:hAnsi="Verdana"/>
          <w:sz w:val="20"/>
          <w:szCs w:val="20"/>
        </w:rPr>
        <w:t>Bsp</w:t>
      </w:r>
      <w:proofErr w:type="spellEnd"/>
      <w:r w:rsidR="00643C52">
        <w:rPr>
          <w:rFonts w:ascii="Verdana" w:hAnsi="Verdana"/>
          <w:sz w:val="20"/>
          <w:szCs w:val="20"/>
        </w:rPr>
        <w:t xml:space="preserve">: statistischer Vergleich </w:t>
      </w:r>
      <w:proofErr w:type="spellStart"/>
      <w:r w:rsidR="00643C52">
        <w:rPr>
          <w:rFonts w:ascii="Verdana" w:hAnsi="Verdana"/>
          <w:sz w:val="20"/>
          <w:szCs w:val="20"/>
        </w:rPr>
        <w:t>EuroStat</w:t>
      </w:r>
      <w:proofErr w:type="spellEnd"/>
      <w:r w:rsidR="00643C52">
        <w:rPr>
          <w:rFonts w:ascii="Verdana" w:hAnsi="Verdana"/>
          <w:sz w:val="20"/>
          <w:szCs w:val="20"/>
        </w:rPr>
        <w:t>)</w:t>
      </w:r>
      <w:r w:rsidR="00643C52">
        <w:rPr>
          <w:rFonts w:ascii="Verdana" w:hAnsi="Verdana"/>
          <w:sz w:val="20"/>
          <w:szCs w:val="20"/>
        </w:rPr>
        <w:br/>
      </w:r>
      <w:r w:rsidR="00B74AF5">
        <w:rPr>
          <w:rFonts w:ascii="Verdana" w:hAnsi="Verdana"/>
          <w:sz w:val="20"/>
          <w:szCs w:val="20"/>
        </w:rPr>
        <w:t>Keine Sanktionen (s</w:t>
      </w:r>
      <w:r w:rsidR="007014D2">
        <w:rPr>
          <w:rFonts w:ascii="Verdana" w:hAnsi="Verdana"/>
          <w:sz w:val="20"/>
          <w:szCs w:val="20"/>
        </w:rPr>
        <w:t xml:space="preserve">oft </w:t>
      </w:r>
      <w:proofErr w:type="spellStart"/>
      <w:r w:rsidR="007014D2">
        <w:rPr>
          <w:rFonts w:ascii="Verdana" w:hAnsi="Verdana"/>
          <w:sz w:val="20"/>
          <w:szCs w:val="20"/>
        </w:rPr>
        <w:t>law</w:t>
      </w:r>
      <w:proofErr w:type="spellEnd"/>
      <w:r w:rsidR="007014D2">
        <w:rPr>
          <w:rFonts w:ascii="Verdana" w:hAnsi="Verdana"/>
          <w:sz w:val="20"/>
          <w:szCs w:val="20"/>
        </w:rPr>
        <w:t>), aber Veröffentlichung:</w:t>
      </w:r>
      <w:r w:rsidR="007014D2">
        <w:rPr>
          <w:rFonts w:ascii="Verdana" w:hAnsi="Verdana"/>
          <w:sz w:val="20"/>
          <w:szCs w:val="20"/>
        </w:rPr>
        <w:br/>
      </w:r>
      <w:r w:rsidR="007014D2" w:rsidRPr="007014D2">
        <w:rPr>
          <w:rFonts w:ascii="Verdana" w:hAnsi="Verdana"/>
          <w:sz w:val="20"/>
          <w:szCs w:val="20"/>
        </w:rPr>
        <w:sym w:font="Wingdings" w:char="F0E0"/>
      </w:r>
      <w:proofErr w:type="spellStart"/>
      <w:r w:rsidR="007014D2" w:rsidRPr="007014D2">
        <w:rPr>
          <w:rFonts w:ascii="Verdana" w:hAnsi="Verdana"/>
          <w:b/>
          <w:sz w:val="20"/>
          <w:szCs w:val="20"/>
        </w:rPr>
        <w:t>Scoreboards</w:t>
      </w:r>
      <w:proofErr w:type="spellEnd"/>
      <w:r w:rsidR="007014D2">
        <w:rPr>
          <w:rFonts w:ascii="Verdana" w:hAnsi="Verdana"/>
          <w:sz w:val="20"/>
          <w:szCs w:val="20"/>
        </w:rPr>
        <w:t>: öffentliches Anprangern</w:t>
      </w:r>
      <w:r w:rsidR="00643C52">
        <w:rPr>
          <w:rFonts w:ascii="Verdana" w:hAnsi="Verdana"/>
          <w:sz w:val="20"/>
          <w:szCs w:val="20"/>
        </w:rPr>
        <w:t xml:space="preserve"> von Mitgliedsstaaten</w:t>
      </w:r>
      <w:r w:rsidR="007014D2">
        <w:rPr>
          <w:rFonts w:ascii="Verdana" w:hAnsi="Verdana"/>
          <w:sz w:val="20"/>
          <w:szCs w:val="20"/>
        </w:rPr>
        <w:br/>
        <w:t>Peer-</w:t>
      </w:r>
      <w:proofErr w:type="spellStart"/>
      <w:r w:rsidR="007014D2">
        <w:rPr>
          <w:rFonts w:ascii="Verdana" w:hAnsi="Verdana"/>
          <w:sz w:val="20"/>
          <w:szCs w:val="20"/>
        </w:rPr>
        <w:t>Pressure</w:t>
      </w:r>
      <w:proofErr w:type="spellEnd"/>
      <w:r w:rsidR="007014D2">
        <w:rPr>
          <w:rFonts w:ascii="Verdana" w:hAnsi="Verdana"/>
          <w:sz w:val="20"/>
          <w:szCs w:val="20"/>
        </w:rPr>
        <w:t xml:space="preserve">: informelle Sanktion: </w:t>
      </w:r>
      <w:proofErr w:type="spellStart"/>
      <w:r w:rsidR="007014D2">
        <w:rPr>
          <w:rFonts w:ascii="Verdana" w:hAnsi="Verdana"/>
          <w:sz w:val="20"/>
          <w:szCs w:val="20"/>
        </w:rPr>
        <w:t>naming</w:t>
      </w:r>
      <w:proofErr w:type="spellEnd"/>
      <w:r w:rsidR="007014D2">
        <w:rPr>
          <w:rFonts w:ascii="Verdana" w:hAnsi="Verdana"/>
          <w:sz w:val="20"/>
          <w:szCs w:val="20"/>
        </w:rPr>
        <w:t xml:space="preserve">, </w:t>
      </w:r>
      <w:proofErr w:type="spellStart"/>
      <w:r w:rsidR="007014D2">
        <w:rPr>
          <w:rFonts w:ascii="Verdana" w:hAnsi="Verdana"/>
          <w:sz w:val="20"/>
          <w:szCs w:val="20"/>
        </w:rPr>
        <w:t>blaming</w:t>
      </w:r>
      <w:proofErr w:type="spellEnd"/>
      <w:r w:rsidR="007014D2">
        <w:rPr>
          <w:rFonts w:ascii="Verdana" w:hAnsi="Verdana"/>
          <w:sz w:val="20"/>
          <w:szCs w:val="20"/>
        </w:rPr>
        <w:t xml:space="preserve">, </w:t>
      </w:r>
      <w:proofErr w:type="spellStart"/>
      <w:r w:rsidR="007014D2">
        <w:rPr>
          <w:rFonts w:ascii="Verdana" w:hAnsi="Verdana"/>
          <w:sz w:val="20"/>
          <w:szCs w:val="20"/>
        </w:rPr>
        <w:t>shaming</w:t>
      </w:r>
      <w:proofErr w:type="spellEnd"/>
      <w:r w:rsidR="007014D2">
        <w:rPr>
          <w:rFonts w:ascii="Verdana" w:hAnsi="Verdana"/>
          <w:sz w:val="20"/>
          <w:szCs w:val="20"/>
        </w:rPr>
        <w:t>.</w:t>
      </w:r>
    </w:p>
    <w:p w:rsidR="007014D2" w:rsidRDefault="007014D2" w:rsidP="00B74AF5">
      <w:pPr>
        <w:pStyle w:val="KeinLeerraum"/>
        <w:rPr>
          <w:rFonts w:ascii="Verdana" w:hAnsi="Verdana"/>
          <w:sz w:val="20"/>
          <w:szCs w:val="20"/>
        </w:rPr>
      </w:pPr>
      <w:r w:rsidRPr="007014D2">
        <w:rPr>
          <w:rFonts w:ascii="Verdana" w:hAnsi="Verdana"/>
          <w:sz w:val="20"/>
          <w:szCs w:val="20"/>
        </w:rPr>
        <w:sym w:font="Wingdings" w:char="F0E0"/>
      </w:r>
      <w:proofErr w:type="spellStart"/>
      <w:r w:rsidRPr="007014D2">
        <w:rPr>
          <w:rFonts w:ascii="Verdana" w:hAnsi="Verdana"/>
          <w:b/>
          <w:sz w:val="20"/>
          <w:szCs w:val="20"/>
        </w:rPr>
        <w:t>best</w:t>
      </w:r>
      <w:proofErr w:type="spellEnd"/>
      <w:r w:rsidRPr="007014D2">
        <w:rPr>
          <w:rFonts w:ascii="Verdana" w:hAnsi="Verdana"/>
          <w:b/>
          <w:sz w:val="20"/>
          <w:szCs w:val="20"/>
        </w:rPr>
        <w:t xml:space="preserve"> </w:t>
      </w:r>
      <w:proofErr w:type="spellStart"/>
      <w:r w:rsidRPr="007014D2">
        <w:rPr>
          <w:rFonts w:ascii="Verdana" w:hAnsi="Verdana"/>
          <w:b/>
          <w:sz w:val="20"/>
          <w:szCs w:val="20"/>
        </w:rPr>
        <w:t>practice</w:t>
      </w:r>
      <w:proofErr w:type="spellEnd"/>
      <w:r>
        <w:rPr>
          <w:rFonts w:ascii="Verdana" w:hAnsi="Verdana"/>
          <w:sz w:val="20"/>
          <w:szCs w:val="20"/>
        </w:rPr>
        <w:t xml:space="preserve">: </w:t>
      </w:r>
      <w:r w:rsidR="00643C52">
        <w:rPr>
          <w:rFonts w:ascii="Verdana" w:hAnsi="Verdana"/>
          <w:sz w:val="20"/>
          <w:szCs w:val="20"/>
        </w:rPr>
        <w:t>erfolgreicher Staaten als Vorbildlösung.</w:t>
      </w:r>
    </w:p>
    <w:p w:rsidR="007014D2" w:rsidRDefault="007014D2" w:rsidP="00B74AF5">
      <w:pPr>
        <w:pStyle w:val="KeinLeerraum"/>
        <w:rPr>
          <w:rFonts w:ascii="Verdana" w:hAnsi="Verdana"/>
          <w:sz w:val="20"/>
          <w:szCs w:val="20"/>
        </w:rPr>
      </w:pPr>
      <w:r w:rsidRPr="007014D2">
        <w:rPr>
          <w:rFonts w:ascii="Verdana" w:hAnsi="Verdana"/>
          <w:sz w:val="20"/>
          <w:szCs w:val="20"/>
        </w:rPr>
        <w:sym w:font="Wingdings" w:char="F0E0"/>
      </w:r>
      <w:proofErr w:type="spellStart"/>
      <w:r w:rsidRPr="007014D2">
        <w:rPr>
          <w:rFonts w:ascii="Verdana" w:hAnsi="Verdana"/>
          <w:b/>
          <w:sz w:val="20"/>
          <w:szCs w:val="20"/>
        </w:rPr>
        <w:t>policy</w:t>
      </w:r>
      <w:proofErr w:type="spellEnd"/>
      <w:r w:rsidRPr="007014D2">
        <w:rPr>
          <w:rFonts w:ascii="Verdana" w:hAnsi="Verdana"/>
          <w:b/>
          <w:sz w:val="20"/>
          <w:szCs w:val="20"/>
        </w:rPr>
        <w:t xml:space="preserve">  </w:t>
      </w:r>
      <w:proofErr w:type="spellStart"/>
      <w:r w:rsidRPr="007014D2">
        <w:rPr>
          <w:rFonts w:ascii="Verdana" w:hAnsi="Verdana"/>
          <w:b/>
          <w:sz w:val="20"/>
          <w:szCs w:val="20"/>
        </w:rPr>
        <w:t>learning</w:t>
      </w:r>
      <w:proofErr w:type="spellEnd"/>
      <w:r>
        <w:rPr>
          <w:rFonts w:ascii="Verdana" w:hAnsi="Verdana"/>
          <w:sz w:val="20"/>
          <w:szCs w:val="20"/>
        </w:rPr>
        <w:t xml:space="preserve">: </w:t>
      </w:r>
      <w:r w:rsidR="00643C52">
        <w:rPr>
          <w:rFonts w:ascii="Verdana" w:hAnsi="Verdana"/>
          <w:sz w:val="20"/>
          <w:szCs w:val="20"/>
        </w:rPr>
        <w:t xml:space="preserve">Ziel ist </w:t>
      </w:r>
      <w:r>
        <w:rPr>
          <w:rFonts w:ascii="Verdana" w:hAnsi="Verdana"/>
          <w:sz w:val="20"/>
          <w:szCs w:val="20"/>
        </w:rPr>
        <w:t>stiller Zwang des guten Beispiels.</w:t>
      </w:r>
      <w:r w:rsidR="00643C52">
        <w:rPr>
          <w:rFonts w:ascii="Verdana" w:hAnsi="Verdana"/>
          <w:sz w:val="20"/>
          <w:szCs w:val="20"/>
        </w:rPr>
        <w:br/>
        <w:t xml:space="preserve">langfristig kann diese Perspektive </w:t>
      </w:r>
      <w:proofErr w:type="gramStart"/>
      <w:r w:rsidR="00643C52">
        <w:rPr>
          <w:rFonts w:ascii="Verdana" w:hAnsi="Verdana"/>
          <w:sz w:val="20"/>
          <w:szCs w:val="20"/>
        </w:rPr>
        <w:t>ein institutionelles</w:t>
      </w:r>
      <w:proofErr w:type="gramEnd"/>
      <w:r w:rsidR="00643C52">
        <w:rPr>
          <w:rFonts w:ascii="Verdana" w:hAnsi="Verdana"/>
          <w:sz w:val="20"/>
          <w:szCs w:val="20"/>
        </w:rPr>
        <w:t xml:space="preserve"> </w:t>
      </w:r>
      <w:r w:rsidR="00643C52" w:rsidRPr="00643C52">
        <w:rPr>
          <w:rFonts w:ascii="Verdana" w:hAnsi="Verdana"/>
          <w:b/>
          <w:sz w:val="20"/>
          <w:szCs w:val="20"/>
        </w:rPr>
        <w:t>Level-</w:t>
      </w:r>
      <w:proofErr w:type="spellStart"/>
      <w:r w:rsidR="00643C52" w:rsidRPr="00643C52">
        <w:rPr>
          <w:rFonts w:ascii="Verdana" w:hAnsi="Verdana"/>
          <w:b/>
          <w:sz w:val="20"/>
          <w:szCs w:val="20"/>
        </w:rPr>
        <w:t>Playing</w:t>
      </w:r>
      <w:proofErr w:type="spellEnd"/>
      <w:r w:rsidR="00643C52" w:rsidRPr="00643C52">
        <w:rPr>
          <w:rFonts w:ascii="Verdana" w:hAnsi="Verdana"/>
          <w:b/>
          <w:sz w:val="20"/>
          <w:szCs w:val="20"/>
        </w:rPr>
        <w:t>-Field</w:t>
      </w:r>
      <w:r w:rsidR="00643C52">
        <w:rPr>
          <w:rFonts w:ascii="Verdana" w:hAnsi="Verdana"/>
          <w:sz w:val="20"/>
          <w:szCs w:val="20"/>
        </w:rPr>
        <w:t xml:space="preserve"> (Konvergenz) generieren.</w:t>
      </w:r>
    </w:p>
    <w:p w:rsidR="00D7614B" w:rsidRDefault="00D7614B" w:rsidP="00B74AF5">
      <w:pPr>
        <w:pStyle w:val="KeinLeerraum"/>
        <w:rPr>
          <w:rFonts w:ascii="Verdana" w:hAnsi="Verdana"/>
          <w:sz w:val="20"/>
          <w:szCs w:val="20"/>
        </w:rPr>
      </w:pPr>
    </w:p>
    <w:p w:rsidR="00D7614B" w:rsidRDefault="00D7614B" w:rsidP="00B74AF5">
      <w:pPr>
        <w:pStyle w:val="KeinLeerraum"/>
        <w:rPr>
          <w:rFonts w:ascii="Verdana" w:hAnsi="Verdana"/>
          <w:sz w:val="20"/>
          <w:szCs w:val="20"/>
        </w:rPr>
      </w:pPr>
      <w:r w:rsidRPr="007014D2">
        <w:rPr>
          <w:rFonts w:ascii="Verdana" w:hAnsi="Verdana"/>
          <w:b/>
          <w:sz w:val="20"/>
          <w:szCs w:val="20"/>
        </w:rPr>
        <w:t xml:space="preserve">Best </w:t>
      </w:r>
      <w:proofErr w:type="spellStart"/>
      <w:r w:rsidRPr="007014D2">
        <w:rPr>
          <w:rFonts w:ascii="Verdana" w:hAnsi="Verdana"/>
          <w:b/>
          <w:sz w:val="20"/>
          <w:szCs w:val="20"/>
        </w:rPr>
        <w:t>pratice</w:t>
      </w:r>
      <w:proofErr w:type="spellEnd"/>
      <w:r>
        <w:rPr>
          <w:rFonts w:ascii="Verdana" w:hAnsi="Verdana"/>
          <w:sz w:val="20"/>
          <w:szCs w:val="20"/>
        </w:rPr>
        <w:t>:</w:t>
      </w:r>
      <w:r w:rsidR="007014D2">
        <w:rPr>
          <w:rFonts w:ascii="Verdana" w:hAnsi="Verdana"/>
          <w:sz w:val="20"/>
          <w:szCs w:val="20"/>
        </w:rPr>
        <w:t xml:space="preserve"> gibt es ein Land, dessen Institutionengefüge im Hinblick auf die Verfolgung eines arbeitsmarktpolitischen Zieles überlegen ist?</w:t>
      </w:r>
      <w:r w:rsidR="007014D2">
        <w:rPr>
          <w:rFonts w:ascii="Verdana" w:hAnsi="Verdana"/>
          <w:sz w:val="20"/>
          <w:szCs w:val="20"/>
        </w:rPr>
        <w:br/>
      </w:r>
      <w:r w:rsidR="007014D2" w:rsidRPr="007014D2">
        <w:rPr>
          <w:rFonts w:ascii="Verdana" w:hAnsi="Verdana"/>
          <w:sz w:val="20"/>
          <w:szCs w:val="20"/>
        </w:rPr>
        <w:sym w:font="Wingdings" w:char="F0E0"/>
      </w:r>
      <w:proofErr w:type="spellStart"/>
      <w:r w:rsidR="007014D2" w:rsidRPr="008B42B9">
        <w:rPr>
          <w:rFonts w:ascii="Verdana" w:hAnsi="Verdana"/>
          <w:b/>
          <w:sz w:val="20"/>
          <w:szCs w:val="20"/>
        </w:rPr>
        <w:t>One</w:t>
      </w:r>
      <w:proofErr w:type="spellEnd"/>
      <w:r w:rsidR="007014D2" w:rsidRPr="008B42B9">
        <w:rPr>
          <w:rFonts w:ascii="Verdana" w:hAnsi="Verdana"/>
          <w:b/>
          <w:sz w:val="20"/>
          <w:szCs w:val="20"/>
        </w:rPr>
        <w:t>-best-</w:t>
      </w:r>
      <w:proofErr w:type="spellStart"/>
      <w:r w:rsidR="007014D2" w:rsidRPr="008B42B9">
        <w:rPr>
          <w:rFonts w:ascii="Verdana" w:hAnsi="Verdana"/>
          <w:b/>
          <w:sz w:val="20"/>
          <w:szCs w:val="20"/>
        </w:rPr>
        <w:t>way</w:t>
      </w:r>
      <w:proofErr w:type="spellEnd"/>
      <w:r w:rsidR="007014D2" w:rsidRPr="008B42B9">
        <w:rPr>
          <w:rFonts w:ascii="Verdana" w:hAnsi="Verdana"/>
          <w:b/>
          <w:sz w:val="20"/>
          <w:szCs w:val="20"/>
        </w:rPr>
        <w:t xml:space="preserve"> These</w:t>
      </w:r>
      <w:r w:rsidR="007014D2">
        <w:rPr>
          <w:rFonts w:ascii="Verdana" w:hAnsi="Verdana"/>
          <w:sz w:val="20"/>
          <w:szCs w:val="20"/>
        </w:rPr>
        <w:t xml:space="preserve"> bisher nicht belegt.</w:t>
      </w:r>
      <w:r w:rsidR="007014D2">
        <w:rPr>
          <w:rFonts w:ascii="Verdana" w:hAnsi="Verdana"/>
          <w:sz w:val="20"/>
          <w:szCs w:val="20"/>
        </w:rPr>
        <w:br/>
      </w:r>
      <w:r w:rsidR="007014D2" w:rsidRPr="007014D2">
        <w:rPr>
          <w:rFonts w:ascii="Verdana" w:hAnsi="Verdana"/>
          <w:b/>
          <w:sz w:val="20"/>
          <w:szCs w:val="20"/>
        </w:rPr>
        <w:t>funktionale Äquivalenz von Institutionen</w:t>
      </w:r>
      <w:r w:rsidR="007014D2">
        <w:rPr>
          <w:rFonts w:ascii="Verdana" w:hAnsi="Verdana"/>
          <w:sz w:val="20"/>
          <w:szCs w:val="20"/>
        </w:rPr>
        <w:t>: Gegenthese, wonach sich ein Ziel mit unterschiedlichen Institutionensystemen gleich gut erreichen lässt.</w:t>
      </w:r>
      <w:r w:rsidR="007014D2">
        <w:rPr>
          <w:rFonts w:ascii="Verdana" w:hAnsi="Verdana"/>
          <w:sz w:val="20"/>
          <w:szCs w:val="20"/>
        </w:rPr>
        <w:br/>
      </w:r>
      <w:r w:rsidR="007014D2" w:rsidRPr="007014D2">
        <w:rPr>
          <w:rFonts w:ascii="Verdana" w:hAnsi="Verdana"/>
          <w:sz w:val="20"/>
          <w:szCs w:val="20"/>
        </w:rPr>
        <w:sym w:font="Wingdings" w:char="F0E0"/>
      </w:r>
      <w:r w:rsidR="007014D2">
        <w:rPr>
          <w:rFonts w:ascii="Verdana" w:hAnsi="Verdana"/>
          <w:sz w:val="20"/>
          <w:szCs w:val="20"/>
        </w:rPr>
        <w:t>sowohl Wohlfahrtsstaat Schweden als auch marktdominierte USA weitestgehend VB.</w:t>
      </w:r>
    </w:p>
    <w:p w:rsidR="00B74AF5" w:rsidRDefault="00B74AF5">
      <w:pPr>
        <w:pStyle w:val="KeinLeerraum"/>
        <w:rPr>
          <w:rFonts w:ascii="Verdana" w:hAnsi="Verdana"/>
          <w:sz w:val="20"/>
          <w:szCs w:val="20"/>
        </w:rPr>
      </w:pPr>
    </w:p>
    <w:p w:rsidR="00F17D35" w:rsidRPr="00D7614B" w:rsidRDefault="00D7614B">
      <w:pPr>
        <w:pStyle w:val="KeinLeerraum"/>
        <w:rPr>
          <w:rFonts w:ascii="Verdana" w:hAnsi="Verdana"/>
          <w:sz w:val="20"/>
          <w:szCs w:val="20"/>
        </w:rPr>
      </w:pPr>
      <w:r w:rsidRPr="00D7614B">
        <w:rPr>
          <w:rFonts w:ascii="Verdana" w:hAnsi="Verdana"/>
          <w:sz w:val="20"/>
          <w:szCs w:val="20"/>
        </w:rPr>
        <w:t>Das Konzept kann als neues Pa</w:t>
      </w:r>
      <w:r>
        <w:rPr>
          <w:rFonts w:ascii="Verdana" w:hAnsi="Verdana"/>
          <w:sz w:val="20"/>
          <w:szCs w:val="20"/>
        </w:rPr>
        <w:t xml:space="preserve">radigma bezeichnet werden, das </w:t>
      </w:r>
      <w:r w:rsidRPr="00D7614B">
        <w:rPr>
          <w:rFonts w:ascii="Verdana" w:hAnsi="Verdana"/>
          <w:sz w:val="20"/>
          <w:szCs w:val="20"/>
        </w:rPr>
        <w:t xml:space="preserve">"unter den Bedingungen der zunehmenden politischen Verflechtung im </w:t>
      </w:r>
      <w:proofErr w:type="spellStart"/>
      <w:r w:rsidRPr="00D7614B">
        <w:rPr>
          <w:rFonts w:ascii="Verdana" w:hAnsi="Verdana"/>
          <w:sz w:val="20"/>
          <w:szCs w:val="20"/>
        </w:rPr>
        <w:t>Mehrebenensystem</w:t>
      </w:r>
      <w:proofErr w:type="spellEnd"/>
      <w:r w:rsidRPr="00D7614B">
        <w:rPr>
          <w:rFonts w:ascii="Verdana" w:hAnsi="Verdana"/>
          <w:sz w:val="20"/>
          <w:szCs w:val="20"/>
        </w:rPr>
        <w:t xml:space="preserve"> der Europäischen Union einen Austausch von Ideen und Wissen fördert und </w:t>
      </w:r>
      <w:r w:rsidRPr="00D7614B">
        <w:rPr>
          <w:rFonts w:ascii="Verdana" w:hAnsi="Verdana"/>
          <w:b/>
          <w:sz w:val="20"/>
          <w:szCs w:val="20"/>
        </w:rPr>
        <w:t>‚</w:t>
      </w:r>
      <w:proofErr w:type="spellStart"/>
      <w:r w:rsidRPr="00D7614B">
        <w:rPr>
          <w:rFonts w:ascii="Verdana" w:hAnsi="Verdana"/>
          <w:b/>
          <w:sz w:val="20"/>
          <w:szCs w:val="20"/>
        </w:rPr>
        <w:t>Policy</w:t>
      </w:r>
      <w:proofErr w:type="spellEnd"/>
      <w:r w:rsidRPr="00D7614B">
        <w:rPr>
          <w:rFonts w:ascii="Verdana" w:hAnsi="Verdana"/>
          <w:b/>
          <w:sz w:val="20"/>
          <w:szCs w:val="20"/>
        </w:rPr>
        <w:t>-Learning’</w:t>
      </w:r>
      <w:r w:rsidRPr="00D7614B">
        <w:rPr>
          <w:rFonts w:ascii="Verdana" w:hAnsi="Verdana"/>
          <w:sz w:val="20"/>
          <w:szCs w:val="20"/>
        </w:rPr>
        <w:t xml:space="preserve"> als neue legitime Form politischer Steue</w:t>
      </w:r>
      <w:r>
        <w:rPr>
          <w:rFonts w:ascii="Verdana" w:hAnsi="Verdana"/>
          <w:sz w:val="20"/>
          <w:szCs w:val="20"/>
        </w:rPr>
        <w:t>rung initiiert</w:t>
      </w:r>
      <w:r>
        <w:t>.</w:t>
      </w:r>
      <w:r w:rsidRPr="00D7614B">
        <w:rPr>
          <w:rFonts w:ascii="Verdana" w:hAnsi="Verdana"/>
          <w:sz w:val="20"/>
          <w:szCs w:val="20"/>
        </w:rPr>
        <w:t>"</w:t>
      </w:r>
    </w:p>
    <w:p w:rsidR="00F17D35" w:rsidRDefault="00F17D35">
      <w:pPr>
        <w:pStyle w:val="KeinLeerraum"/>
        <w:rPr>
          <w:rFonts w:ascii="Verdana" w:hAnsi="Verdana"/>
          <w:sz w:val="20"/>
          <w:szCs w:val="20"/>
        </w:rPr>
      </w:pPr>
    </w:p>
    <w:p w:rsidR="00F17D35" w:rsidRDefault="00643C52">
      <w:pPr>
        <w:pStyle w:val="KeinLeerraum"/>
        <w:rPr>
          <w:rFonts w:ascii="Verdana" w:hAnsi="Verdana"/>
          <w:sz w:val="20"/>
          <w:szCs w:val="20"/>
        </w:rPr>
      </w:pPr>
      <w:r>
        <w:rPr>
          <w:rFonts w:ascii="Verdana" w:hAnsi="Verdana"/>
          <w:sz w:val="20"/>
          <w:szCs w:val="20"/>
        </w:rPr>
        <w:t xml:space="preserve">Die wichtigsten Akteure der Europäischen Beschäftigungspolitik sind </w:t>
      </w:r>
      <w:r w:rsidR="0072078B">
        <w:rPr>
          <w:rFonts w:ascii="Verdana" w:hAnsi="Verdana"/>
          <w:sz w:val="20"/>
          <w:szCs w:val="20"/>
        </w:rPr>
        <w:t>Europäischer</w:t>
      </w:r>
      <w:r>
        <w:rPr>
          <w:rFonts w:ascii="Verdana" w:hAnsi="Verdana"/>
          <w:sz w:val="20"/>
          <w:szCs w:val="20"/>
        </w:rPr>
        <w:t xml:space="preserve"> Rat, Rat der Union, EU Kommission.</w:t>
      </w:r>
    </w:p>
    <w:p w:rsidR="00F17D35" w:rsidRDefault="00F17D35">
      <w:pPr>
        <w:pStyle w:val="KeinLeerraum"/>
        <w:rPr>
          <w:rFonts w:ascii="Verdana" w:hAnsi="Verdana"/>
          <w:sz w:val="20"/>
          <w:szCs w:val="20"/>
        </w:rPr>
      </w:pPr>
    </w:p>
    <w:p w:rsidR="0072078B" w:rsidRPr="0072078B" w:rsidRDefault="0072078B" w:rsidP="0072078B">
      <w:pPr>
        <w:pStyle w:val="KeinLeerraum"/>
        <w:rPr>
          <w:rFonts w:ascii="Verdana" w:hAnsi="Verdana"/>
          <w:sz w:val="20"/>
          <w:szCs w:val="20"/>
        </w:rPr>
      </w:pPr>
      <w:r w:rsidRPr="0072078B">
        <w:rPr>
          <w:rFonts w:ascii="Verdana" w:hAnsi="Verdana"/>
          <w:b/>
          <w:sz w:val="20"/>
          <w:szCs w:val="20"/>
        </w:rPr>
        <w:t>Formen der Koordinierung</w:t>
      </w:r>
      <w:r w:rsidRPr="0072078B">
        <w:rPr>
          <w:rFonts w:ascii="Verdana" w:hAnsi="Verdana"/>
          <w:sz w:val="20"/>
          <w:szCs w:val="20"/>
        </w:rPr>
        <w:t>:</w:t>
      </w:r>
    </w:p>
    <w:p w:rsidR="0072078B" w:rsidRPr="0072078B" w:rsidRDefault="0072078B" w:rsidP="0072078B">
      <w:pPr>
        <w:pStyle w:val="KeinLeerraum"/>
        <w:rPr>
          <w:rFonts w:ascii="Verdana" w:hAnsi="Verdana"/>
          <w:sz w:val="20"/>
          <w:szCs w:val="20"/>
        </w:rPr>
      </w:pPr>
      <w:r>
        <w:rPr>
          <w:rFonts w:ascii="Verdana" w:hAnsi="Verdana"/>
          <w:sz w:val="20"/>
          <w:szCs w:val="20"/>
        </w:rPr>
        <w:t>1. f</w:t>
      </w:r>
      <w:r w:rsidRPr="0072078B">
        <w:rPr>
          <w:rFonts w:ascii="Verdana" w:hAnsi="Verdana"/>
          <w:sz w:val="20"/>
          <w:szCs w:val="20"/>
        </w:rPr>
        <w:t>reiwilliger Informationsaustausch zwischen den Regierungen</w:t>
      </w:r>
      <w:r>
        <w:rPr>
          <w:rFonts w:ascii="Verdana" w:hAnsi="Verdana"/>
          <w:sz w:val="20"/>
          <w:szCs w:val="20"/>
        </w:rPr>
        <w:t>:</w:t>
      </w:r>
    </w:p>
    <w:p w:rsidR="0072078B" w:rsidRPr="0072078B" w:rsidRDefault="0072078B" w:rsidP="0072078B">
      <w:pPr>
        <w:pStyle w:val="KeinLeerraum"/>
        <w:rPr>
          <w:rFonts w:ascii="Verdana" w:hAnsi="Verdana"/>
          <w:sz w:val="20"/>
          <w:szCs w:val="20"/>
        </w:rPr>
      </w:pPr>
      <w:r>
        <w:rPr>
          <w:rFonts w:ascii="Verdana" w:hAnsi="Verdana"/>
          <w:sz w:val="20"/>
          <w:szCs w:val="20"/>
        </w:rPr>
        <w:t>2. l</w:t>
      </w:r>
      <w:r w:rsidRPr="0072078B">
        <w:rPr>
          <w:rFonts w:ascii="Verdana" w:hAnsi="Verdana"/>
          <w:sz w:val="20"/>
          <w:szCs w:val="20"/>
        </w:rPr>
        <w:t>änderübergreifender Politikvergleich und Erarbeitung von makroökonomisch begründeten Vorbildlösungen (</w:t>
      </w:r>
      <w:r w:rsidRPr="0072078B">
        <w:rPr>
          <w:rFonts w:ascii="Verdana" w:hAnsi="Verdana"/>
          <w:i/>
          <w:sz w:val="20"/>
          <w:szCs w:val="20"/>
        </w:rPr>
        <w:t xml:space="preserve">Benchmarking, </w:t>
      </w:r>
      <w:proofErr w:type="spellStart"/>
      <w:r w:rsidRPr="0072078B">
        <w:rPr>
          <w:rFonts w:ascii="Verdana" w:hAnsi="Verdana"/>
          <w:i/>
          <w:sz w:val="20"/>
          <w:szCs w:val="20"/>
        </w:rPr>
        <w:t>institutional</w:t>
      </w:r>
      <w:proofErr w:type="spellEnd"/>
      <w:r w:rsidRPr="0072078B">
        <w:rPr>
          <w:rFonts w:ascii="Verdana" w:hAnsi="Verdana"/>
          <w:i/>
          <w:sz w:val="20"/>
          <w:szCs w:val="20"/>
        </w:rPr>
        <w:t xml:space="preserve"> </w:t>
      </w:r>
      <w:proofErr w:type="spellStart"/>
      <w:r w:rsidRPr="0072078B">
        <w:rPr>
          <w:rFonts w:ascii="Verdana" w:hAnsi="Verdana"/>
          <w:i/>
          <w:sz w:val="20"/>
          <w:szCs w:val="20"/>
        </w:rPr>
        <w:t>learning</w:t>
      </w:r>
      <w:proofErr w:type="spellEnd"/>
      <w:r w:rsidRPr="0072078B">
        <w:rPr>
          <w:rFonts w:ascii="Verdana" w:hAnsi="Verdana"/>
          <w:i/>
          <w:sz w:val="20"/>
          <w:szCs w:val="20"/>
        </w:rPr>
        <w:t xml:space="preserve">, </w:t>
      </w:r>
      <w:proofErr w:type="spellStart"/>
      <w:r w:rsidRPr="0072078B">
        <w:rPr>
          <w:rFonts w:ascii="Verdana" w:hAnsi="Verdana"/>
          <w:i/>
          <w:sz w:val="20"/>
          <w:szCs w:val="20"/>
        </w:rPr>
        <w:t>best</w:t>
      </w:r>
      <w:proofErr w:type="spellEnd"/>
      <w:r w:rsidRPr="0072078B">
        <w:rPr>
          <w:rFonts w:ascii="Verdana" w:hAnsi="Verdana"/>
          <w:i/>
          <w:sz w:val="20"/>
          <w:szCs w:val="20"/>
        </w:rPr>
        <w:t xml:space="preserve"> </w:t>
      </w:r>
      <w:proofErr w:type="spellStart"/>
      <w:r w:rsidRPr="0072078B">
        <w:rPr>
          <w:rFonts w:ascii="Verdana" w:hAnsi="Verdana"/>
          <w:i/>
          <w:sz w:val="20"/>
          <w:szCs w:val="20"/>
        </w:rPr>
        <w:t>practice</w:t>
      </w:r>
      <w:proofErr w:type="spellEnd"/>
      <w:r w:rsidRPr="0072078B">
        <w:rPr>
          <w:rFonts w:ascii="Verdana" w:hAnsi="Verdana"/>
          <w:i/>
          <w:sz w:val="20"/>
          <w:szCs w:val="20"/>
        </w:rPr>
        <w:t xml:space="preserve"> </w:t>
      </w:r>
      <w:r w:rsidRPr="0072078B">
        <w:rPr>
          <w:rFonts w:ascii="Verdana" w:hAnsi="Verdana"/>
          <w:sz w:val="20"/>
          <w:szCs w:val="20"/>
        </w:rPr>
        <w:t xml:space="preserve">oder im Sinne des institutionellen Wettbewerbs eine </w:t>
      </w:r>
      <w:r w:rsidRPr="0072078B">
        <w:rPr>
          <w:rFonts w:ascii="Verdana" w:hAnsi="Verdana"/>
          <w:i/>
          <w:sz w:val="20"/>
          <w:szCs w:val="20"/>
        </w:rPr>
        <w:t>Arbitrage</w:t>
      </w:r>
      <w:r w:rsidRPr="0072078B">
        <w:rPr>
          <w:rFonts w:ascii="Verdana" w:hAnsi="Verdana"/>
          <w:sz w:val="20"/>
          <w:szCs w:val="20"/>
        </w:rPr>
        <w:t>), die Vergleich und Erfolgskontrolle sowie die Befolgung global anerkannter und sehr diffuser Regeln zum „guten“ Regierungshandeln (</w:t>
      </w:r>
      <w:proofErr w:type="spellStart"/>
      <w:r w:rsidRPr="0072078B">
        <w:rPr>
          <w:rFonts w:ascii="Verdana" w:hAnsi="Verdana"/>
          <w:i/>
          <w:sz w:val="20"/>
          <w:szCs w:val="20"/>
        </w:rPr>
        <w:t>good</w:t>
      </w:r>
      <w:proofErr w:type="spellEnd"/>
      <w:r w:rsidRPr="0072078B">
        <w:rPr>
          <w:rFonts w:ascii="Verdana" w:hAnsi="Verdana"/>
          <w:i/>
          <w:sz w:val="20"/>
          <w:szCs w:val="20"/>
        </w:rPr>
        <w:t xml:space="preserve"> </w:t>
      </w:r>
      <w:proofErr w:type="spellStart"/>
      <w:r w:rsidRPr="0072078B">
        <w:rPr>
          <w:rFonts w:ascii="Verdana" w:hAnsi="Verdana"/>
          <w:i/>
          <w:sz w:val="20"/>
          <w:szCs w:val="20"/>
        </w:rPr>
        <w:t>governance</w:t>
      </w:r>
      <w:proofErr w:type="spellEnd"/>
      <w:r w:rsidRPr="0072078B">
        <w:rPr>
          <w:rFonts w:ascii="Verdana" w:hAnsi="Verdana"/>
          <w:sz w:val="20"/>
          <w:szCs w:val="20"/>
        </w:rPr>
        <w:t xml:space="preserve">) ermöglichen. </w:t>
      </w:r>
    </w:p>
    <w:p w:rsidR="0072078B" w:rsidRDefault="0072078B">
      <w:pPr>
        <w:pStyle w:val="KeinLeerraum"/>
        <w:rPr>
          <w:rFonts w:ascii="Verdana" w:hAnsi="Verdana"/>
          <w:sz w:val="20"/>
          <w:szCs w:val="20"/>
        </w:rPr>
      </w:pPr>
      <w:r>
        <w:rPr>
          <w:rFonts w:ascii="Verdana" w:hAnsi="Verdana"/>
          <w:sz w:val="20"/>
          <w:szCs w:val="20"/>
        </w:rPr>
        <w:t xml:space="preserve">3. </w:t>
      </w:r>
      <w:r w:rsidRPr="0072078B">
        <w:rPr>
          <w:rFonts w:ascii="Verdana" w:hAnsi="Verdana"/>
          <w:sz w:val="20"/>
          <w:szCs w:val="20"/>
        </w:rPr>
        <w:t>gemeinsame Festlegung von Berichtspflicht</w:t>
      </w:r>
      <w:r>
        <w:rPr>
          <w:rFonts w:ascii="Verdana" w:hAnsi="Verdana"/>
          <w:sz w:val="20"/>
          <w:szCs w:val="20"/>
        </w:rPr>
        <w:t xml:space="preserve">en als Grundlage zur Abgabe von </w:t>
      </w:r>
      <w:r w:rsidRPr="0072078B">
        <w:rPr>
          <w:rFonts w:ascii="Verdana" w:hAnsi="Verdana"/>
          <w:sz w:val="20"/>
          <w:szCs w:val="20"/>
        </w:rPr>
        <w:t>Empfehlungen (Leitlinien) durch die Europäische Kommission und Ministerrat. Es besteht allerdings eine rechtliche Unverbindlichkeit (</w:t>
      </w:r>
      <w:r w:rsidRPr="0072078B">
        <w:rPr>
          <w:rFonts w:ascii="Verdana" w:hAnsi="Verdana"/>
          <w:i/>
          <w:sz w:val="20"/>
          <w:szCs w:val="20"/>
        </w:rPr>
        <w:t xml:space="preserve">soft </w:t>
      </w:r>
      <w:proofErr w:type="spellStart"/>
      <w:r w:rsidRPr="0072078B">
        <w:rPr>
          <w:rFonts w:ascii="Verdana" w:hAnsi="Verdana"/>
          <w:i/>
          <w:sz w:val="20"/>
          <w:szCs w:val="20"/>
        </w:rPr>
        <w:t>law</w:t>
      </w:r>
      <w:proofErr w:type="spellEnd"/>
      <w:r w:rsidRPr="0072078B">
        <w:rPr>
          <w:rFonts w:ascii="Verdana" w:hAnsi="Verdana"/>
          <w:sz w:val="20"/>
          <w:szCs w:val="20"/>
        </w:rPr>
        <w:t>) zur Umsetzung solcher Vereinbarungen.</w:t>
      </w:r>
    </w:p>
    <w:p w:rsidR="0072078B" w:rsidRDefault="0072078B">
      <w:pPr>
        <w:pStyle w:val="KeinLeerraum"/>
        <w:rPr>
          <w:rFonts w:ascii="Verdana" w:hAnsi="Verdana"/>
          <w:sz w:val="20"/>
          <w:szCs w:val="20"/>
        </w:rPr>
      </w:pPr>
    </w:p>
    <w:p w:rsidR="0072078B" w:rsidRDefault="0072078B">
      <w:pPr>
        <w:pStyle w:val="KeinLeerraum"/>
        <w:rPr>
          <w:rFonts w:ascii="Verdana" w:hAnsi="Verdana"/>
          <w:sz w:val="20"/>
          <w:szCs w:val="20"/>
        </w:rPr>
      </w:pPr>
      <w:r w:rsidRPr="0072078B">
        <w:rPr>
          <w:rFonts w:ascii="Verdana" w:hAnsi="Verdana"/>
          <w:sz w:val="20"/>
          <w:szCs w:val="20"/>
        </w:rPr>
        <w:t>Aktuelle</w:t>
      </w:r>
      <w:r>
        <w:rPr>
          <w:rFonts w:ascii="Verdana" w:hAnsi="Verdana"/>
          <w:b/>
          <w:sz w:val="20"/>
          <w:szCs w:val="20"/>
        </w:rPr>
        <w:t xml:space="preserve"> </w:t>
      </w:r>
      <w:r w:rsidRPr="0072078B">
        <w:rPr>
          <w:rFonts w:ascii="Verdana" w:hAnsi="Verdana"/>
          <w:b/>
          <w:sz w:val="20"/>
          <w:szCs w:val="20"/>
        </w:rPr>
        <w:t>Beschäftigungspolitische Leitlinien</w:t>
      </w:r>
      <w:r>
        <w:rPr>
          <w:rFonts w:ascii="Verdana" w:hAnsi="Verdana"/>
          <w:sz w:val="20"/>
          <w:szCs w:val="20"/>
        </w:rPr>
        <w:t xml:space="preserve"> der Europäischen Kommission:</w:t>
      </w:r>
      <w:r>
        <w:rPr>
          <w:rFonts w:ascii="Verdana" w:hAnsi="Verdana"/>
          <w:sz w:val="20"/>
          <w:szCs w:val="20"/>
        </w:rPr>
        <w:br/>
        <w:t>1. Vollbeschäftigung</w:t>
      </w:r>
      <w:r>
        <w:rPr>
          <w:rFonts w:ascii="Verdana" w:hAnsi="Verdana"/>
          <w:sz w:val="20"/>
          <w:szCs w:val="20"/>
        </w:rPr>
        <w:br/>
        <w:t>2. Steigerung der Arbeitsplatzqualität</w:t>
      </w:r>
      <w:r>
        <w:rPr>
          <w:rFonts w:ascii="Verdana" w:hAnsi="Verdana"/>
          <w:sz w:val="20"/>
          <w:szCs w:val="20"/>
        </w:rPr>
        <w:br/>
        <w:t>3. Sozialer Zusamme</w:t>
      </w:r>
      <w:r w:rsidR="003256B5">
        <w:rPr>
          <w:rFonts w:ascii="Verdana" w:hAnsi="Verdana"/>
          <w:sz w:val="20"/>
          <w:szCs w:val="20"/>
        </w:rPr>
        <w:t>nhalt und soziale Eingliederung</w:t>
      </w:r>
    </w:p>
    <w:p w:rsidR="0072078B" w:rsidRDefault="0072078B">
      <w:pPr>
        <w:pStyle w:val="KeinLeerraum"/>
        <w:rPr>
          <w:rFonts w:ascii="Verdana" w:hAnsi="Verdana"/>
          <w:sz w:val="20"/>
          <w:szCs w:val="20"/>
        </w:rPr>
      </w:pPr>
      <w:r w:rsidRPr="003256B5">
        <w:rPr>
          <w:rFonts w:ascii="Verdana" w:hAnsi="Verdana"/>
          <w:sz w:val="20"/>
          <w:szCs w:val="20"/>
        </w:rPr>
        <w:br/>
      </w:r>
      <w:r w:rsidR="003256B5" w:rsidRPr="003256B5">
        <w:rPr>
          <w:rFonts w:ascii="Verdana" w:hAnsi="Verdana"/>
          <w:sz w:val="20"/>
          <w:szCs w:val="20"/>
        </w:rPr>
        <w:t xml:space="preserve">Jeder Mitgliedstaat erarbeitet aufgrund von Leitlinien einen Nationalen Aktionsplan (NAP) und beschreibt, wie Leitlinien umgesetzt werden sollen. Die Festlegung der Mittel und Bedingungen sind den einzelnen Staaten überlassen. Alle Mitgliedstaaten gehen die Verpflichtung ein, gemeinsam verabschiedete Maßnahmen in jährlich vorzulegende </w:t>
      </w:r>
      <w:r w:rsidR="003256B5" w:rsidRPr="003256B5">
        <w:rPr>
          <w:rFonts w:ascii="Verdana" w:hAnsi="Verdana"/>
          <w:i/>
          <w:sz w:val="20"/>
          <w:szCs w:val="20"/>
        </w:rPr>
        <w:t>Nationale</w:t>
      </w:r>
      <w:r w:rsidR="003256B5" w:rsidRPr="003256B5">
        <w:rPr>
          <w:rFonts w:ascii="Verdana" w:hAnsi="Verdana"/>
          <w:sz w:val="20"/>
          <w:szCs w:val="20"/>
        </w:rPr>
        <w:t xml:space="preserve"> </w:t>
      </w:r>
      <w:r w:rsidR="003256B5" w:rsidRPr="003256B5">
        <w:rPr>
          <w:rFonts w:ascii="Verdana" w:hAnsi="Verdana"/>
          <w:i/>
          <w:sz w:val="20"/>
          <w:szCs w:val="20"/>
        </w:rPr>
        <w:t>Beschäftigungspolitische Aktionsplänen</w:t>
      </w:r>
      <w:r w:rsidR="003256B5" w:rsidRPr="003256B5">
        <w:rPr>
          <w:rFonts w:ascii="Verdana" w:hAnsi="Verdana"/>
          <w:sz w:val="20"/>
          <w:szCs w:val="20"/>
        </w:rPr>
        <w:t xml:space="preserve"> aufzunehmen.</w:t>
      </w:r>
    </w:p>
    <w:p w:rsidR="003256B5" w:rsidRDefault="003256B5">
      <w:pPr>
        <w:pStyle w:val="KeinLeerraum"/>
        <w:rPr>
          <w:rFonts w:ascii="Verdana" w:hAnsi="Verdana"/>
          <w:sz w:val="20"/>
          <w:szCs w:val="20"/>
        </w:rPr>
      </w:pPr>
    </w:p>
    <w:p w:rsidR="003256B5" w:rsidRDefault="003256B5">
      <w:pPr>
        <w:pStyle w:val="KeinLeerraum"/>
        <w:rPr>
          <w:rFonts w:ascii="Verdana" w:hAnsi="Verdana"/>
          <w:sz w:val="20"/>
          <w:szCs w:val="20"/>
        </w:rPr>
      </w:pPr>
      <w:r>
        <w:rPr>
          <w:rFonts w:ascii="Verdana" w:hAnsi="Verdana"/>
          <w:sz w:val="20"/>
          <w:szCs w:val="20"/>
        </w:rPr>
        <w:t>-</w:t>
      </w:r>
    </w:p>
    <w:p w:rsidR="003256B5" w:rsidRDefault="003256B5">
      <w:pPr>
        <w:pStyle w:val="KeinLeerraum"/>
        <w:rPr>
          <w:rFonts w:ascii="Verdana" w:hAnsi="Verdana"/>
          <w:sz w:val="20"/>
          <w:szCs w:val="20"/>
        </w:rPr>
      </w:pPr>
    </w:p>
    <w:p w:rsidR="003256B5" w:rsidRDefault="003256B5">
      <w:pPr>
        <w:pStyle w:val="KeinLeerraum"/>
        <w:rPr>
          <w:rFonts w:ascii="Verdana" w:hAnsi="Verdana"/>
          <w:sz w:val="20"/>
          <w:szCs w:val="20"/>
        </w:rPr>
      </w:pPr>
      <w:r>
        <w:rPr>
          <w:rFonts w:ascii="Verdana" w:hAnsi="Verdana"/>
          <w:sz w:val="20"/>
          <w:szCs w:val="20"/>
        </w:rPr>
        <w:t xml:space="preserve">3. </w:t>
      </w:r>
      <w:r w:rsidRPr="003256B5">
        <w:rPr>
          <w:rFonts w:ascii="Verdana" w:hAnsi="Verdana"/>
          <w:b/>
          <w:sz w:val="20"/>
          <w:szCs w:val="20"/>
          <w:u w:val="single"/>
        </w:rPr>
        <w:t>Reformen als Reflex wegen Zielverfehlung</w:t>
      </w:r>
    </w:p>
    <w:p w:rsidR="003256B5" w:rsidRPr="00D64393" w:rsidRDefault="003256B5">
      <w:pPr>
        <w:pStyle w:val="KeinLeerraum"/>
        <w:rPr>
          <w:rFonts w:ascii="Verdana" w:hAnsi="Verdana"/>
          <w:sz w:val="20"/>
          <w:szCs w:val="20"/>
        </w:rPr>
      </w:pPr>
    </w:p>
    <w:p w:rsidR="003256B5" w:rsidRPr="00D64393" w:rsidRDefault="007F0406">
      <w:pPr>
        <w:pStyle w:val="KeinLeerraum"/>
        <w:rPr>
          <w:rFonts w:ascii="Verdana" w:hAnsi="Verdana"/>
          <w:sz w:val="20"/>
          <w:szCs w:val="20"/>
        </w:rPr>
      </w:pPr>
      <w:r w:rsidRPr="00D64393">
        <w:rPr>
          <w:rFonts w:ascii="Verdana" w:hAnsi="Verdana"/>
          <w:sz w:val="20"/>
          <w:szCs w:val="20"/>
        </w:rPr>
        <w:t>Als Reflex auf die Verfehlung der Beschäftigungspolitischen Leitlinien und die Finanz- und Wirtschaftskrise (2007), präsentierte die Kommission (2010) die „</w:t>
      </w:r>
      <w:r w:rsidRPr="00D64393">
        <w:rPr>
          <w:rFonts w:ascii="Verdana" w:hAnsi="Verdana"/>
          <w:b/>
          <w:sz w:val="20"/>
          <w:szCs w:val="20"/>
        </w:rPr>
        <w:t>Strategie Europa 2020</w:t>
      </w:r>
      <w:r w:rsidRPr="00D64393">
        <w:rPr>
          <w:rFonts w:ascii="Verdana" w:hAnsi="Verdana"/>
          <w:sz w:val="20"/>
          <w:szCs w:val="20"/>
        </w:rPr>
        <w:t>“.</w:t>
      </w:r>
    </w:p>
    <w:p w:rsidR="007F0406" w:rsidRPr="00D64393" w:rsidRDefault="007F0406">
      <w:pPr>
        <w:pStyle w:val="KeinLeerraum"/>
        <w:rPr>
          <w:rFonts w:ascii="Verdana" w:hAnsi="Verdana"/>
          <w:sz w:val="20"/>
          <w:szCs w:val="20"/>
        </w:rPr>
      </w:pPr>
    </w:p>
    <w:p w:rsidR="007F0406" w:rsidRPr="00D64393" w:rsidRDefault="007F0406">
      <w:pPr>
        <w:pStyle w:val="KeinLeerraum"/>
        <w:rPr>
          <w:rFonts w:ascii="Verdana" w:hAnsi="Verdana"/>
          <w:sz w:val="20"/>
          <w:szCs w:val="20"/>
        </w:rPr>
      </w:pPr>
      <w:r w:rsidRPr="00D64393">
        <w:rPr>
          <w:rFonts w:ascii="Verdana" w:hAnsi="Verdana"/>
          <w:sz w:val="20"/>
          <w:szCs w:val="20"/>
        </w:rPr>
        <w:t xml:space="preserve">Ziel ist auch außenwirtschaftliche Ungleichgewichte zwischen den Mitgliedstaaten zu beheben, die aus einer </w:t>
      </w:r>
      <w:proofErr w:type="spellStart"/>
      <w:r w:rsidRPr="00D64393">
        <w:rPr>
          <w:rFonts w:ascii="Verdana" w:hAnsi="Verdana"/>
          <w:sz w:val="20"/>
          <w:szCs w:val="20"/>
        </w:rPr>
        <w:t>divergierendne</w:t>
      </w:r>
      <w:proofErr w:type="spellEnd"/>
      <w:r w:rsidRPr="00D64393">
        <w:rPr>
          <w:rFonts w:ascii="Verdana" w:hAnsi="Verdana"/>
          <w:sz w:val="20"/>
          <w:szCs w:val="20"/>
        </w:rPr>
        <w:t xml:space="preserve"> Entwicklung der preislichen Wettbewerbsfähigkeit resultiert, was eine Folge der heterogenen Lohnpolitik innerhalb der Eurozone ist. Die Kommission setzt auf </w:t>
      </w:r>
      <w:r w:rsidRPr="00D64393">
        <w:rPr>
          <w:rFonts w:ascii="Verdana" w:hAnsi="Verdana"/>
          <w:i/>
          <w:sz w:val="20"/>
          <w:szCs w:val="20"/>
        </w:rPr>
        <w:t>Monitoring</w:t>
      </w:r>
      <w:r w:rsidRPr="00D64393">
        <w:rPr>
          <w:rFonts w:ascii="Verdana" w:hAnsi="Verdana"/>
          <w:sz w:val="20"/>
          <w:szCs w:val="20"/>
        </w:rPr>
        <w:t xml:space="preserve"> der Lohnstückkosten, um die notwendige Akzeptanz bei den Sozialpartnern zu schaffen, um so lohnpolitische Korrekturen (Anpassungen) durchzusetzen.</w:t>
      </w:r>
    </w:p>
    <w:p w:rsidR="007F0406" w:rsidRPr="00D64393" w:rsidRDefault="007F0406">
      <w:pPr>
        <w:pStyle w:val="KeinLeerraum"/>
        <w:rPr>
          <w:rFonts w:ascii="Verdana" w:hAnsi="Verdana"/>
          <w:sz w:val="20"/>
          <w:szCs w:val="20"/>
        </w:rPr>
      </w:pPr>
    </w:p>
    <w:p w:rsidR="007F0406" w:rsidRPr="00D64393" w:rsidRDefault="007F0406">
      <w:pPr>
        <w:pStyle w:val="KeinLeerraum"/>
        <w:rPr>
          <w:rFonts w:ascii="Verdana" w:hAnsi="Verdana"/>
          <w:sz w:val="20"/>
          <w:szCs w:val="20"/>
        </w:rPr>
      </w:pPr>
      <w:r w:rsidRPr="00D64393">
        <w:rPr>
          <w:rFonts w:ascii="Verdana" w:hAnsi="Verdana"/>
          <w:sz w:val="20"/>
          <w:szCs w:val="20"/>
        </w:rPr>
        <w:t>-</w:t>
      </w:r>
    </w:p>
    <w:p w:rsidR="007F0406" w:rsidRPr="00D64393" w:rsidRDefault="007F0406">
      <w:pPr>
        <w:pStyle w:val="KeinLeerraum"/>
        <w:rPr>
          <w:rFonts w:ascii="Verdana" w:hAnsi="Verdana"/>
          <w:sz w:val="20"/>
          <w:szCs w:val="20"/>
        </w:rPr>
      </w:pPr>
    </w:p>
    <w:p w:rsidR="007F0406" w:rsidRPr="004F3383" w:rsidRDefault="007F0406" w:rsidP="007F0406">
      <w:pPr>
        <w:spacing w:line="360" w:lineRule="auto"/>
        <w:jc w:val="both"/>
        <w:rPr>
          <w:rFonts w:ascii="Verdana" w:hAnsi="Verdana"/>
          <w:b/>
          <w:sz w:val="20"/>
          <w:szCs w:val="20"/>
          <w:u w:val="single"/>
        </w:rPr>
      </w:pPr>
      <w:r w:rsidRPr="004F3383">
        <w:rPr>
          <w:rFonts w:ascii="Verdana" w:hAnsi="Verdana"/>
          <w:sz w:val="20"/>
          <w:szCs w:val="20"/>
        </w:rPr>
        <w:t xml:space="preserve">4. </w:t>
      </w:r>
      <w:proofErr w:type="spellStart"/>
      <w:r w:rsidRPr="004F3383">
        <w:rPr>
          <w:rFonts w:ascii="Verdana" w:hAnsi="Verdana"/>
          <w:b/>
          <w:sz w:val="20"/>
          <w:szCs w:val="20"/>
          <w:u w:val="single"/>
        </w:rPr>
        <w:t>Governance</w:t>
      </w:r>
      <w:proofErr w:type="spellEnd"/>
      <w:r w:rsidRPr="004F3383">
        <w:rPr>
          <w:rFonts w:ascii="Verdana" w:hAnsi="Verdana"/>
          <w:b/>
          <w:sz w:val="20"/>
          <w:szCs w:val="20"/>
          <w:u w:val="single"/>
        </w:rPr>
        <w:t>-Beispiel</w:t>
      </w:r>
    </w:p>
    <w:p w:rsidR="007F0406" w:rsidRPr="00D64393" w:rsidRDefault="00D64393">
      <w:pPr>
        <w:pStyle w:val="KeinLeerraum"/>
        <w:rPr>
          <w:rFonts w:ascii="Verdana" w:hAnsi="Verdana"/>
          <w:sz w:val="20"/>
          <w:szCs w:val="20"/>
        </w:rPr>
      </w:pPr>
      <w:r w:rsidRPr="00D64393">
        <w:rPr>
          <w:rFonts w:ascii="Verdana" w:hAnsi="Verdana"/>
          <w:sz w:val="20"/>
          <w:szCs w:val="20"/>
        </w:rPr>
        <w:t>Entscheidung 2008/618/EG des Rates vom 15. Juli 2008 über Leitlinien für beschäftigungspolitische Maßnahmen der Mitgliedstaaten.</w:t>
      </w:r>
    </w:p>
    <w:p w:rsidR="00D64393" w:rsidRPr="00D64393" w:rsidRDefault="00D64393">
      <w:pPr>
        <w:pStyle w:val="KeinLeerraum"/>
        <w:rPr>
          <w:rFonts w:ascii="Verdana" w:hAnsi="Verdana"/>
          <w:sz w:val="20"/>
          <w:szCs w:val="20"/>
        </w:rPr>
      </w:pPr>
    </w:p>
    <w:p w:rsidR="00D64393" w:rsidRPr="00D64393" w:rsidRDefault="00D64393">
      <w:pPr>
        <w:pStyle w:val="KeinLeerraum"/>
        <w:rPr>
          <w:rFonts w:ascii="Verdana" w:hAnsi="Verdana"/>
          <w:sz w:val="20"/>
          <w:szCs w:val="20"/>
        </w:rPr>
      </w:pPr>
      <w:r w:rsidRPr="00D64393">
        <w:rPr>
          <w:rFonts w:ascii="Verdana" w:hAnsi="Verdana"/>
          <w:sz w:val="20"/>
          <w:szCs w:val="20"/>
        </w:rPr>
        <w:t>Mitgliedstaaten sollen Maßnahmen ergreifen, die die Arbeitsplatzqualität und Arbeitsproduktivität (Allokation) steigern sowie den territorialen Zusammenhalt (sprich: soziale Gerechtigkeit) stärken:</w:t>
      </w:r>
      <w:r w:rsidRPr="00D64393">
        <w:rPr>
          <w:rFonts w:ascii="Verdana" w:hAnsi="Verdana"/>
          <w:sz w:val="20"/>
          <w:szCs w:val="20"/>
        </w:rPr>
        <w:br/>
      </w:r>
      <w:r w:rsidRPr="00D64393">
        <w:rPr>
          <w:rFonts w:ascii="Verdana" w:hAnsi="Verdana"/>
          <w:sz w:val="20"/>
          <w:szCs w:val="20"/>
        </w:rPr>
        <w:br/>
      </w:r>
      <w:r w:rsidRPr="004F3383">
        <w:rPr>
          <w:rFonts w:ascii="Verdana" w:hAnsi="Verdana"/>
          <w:b/>
          <w:sz w:val="20"/>
          <w:szCs w:val="20"/>
        </w:rPr>
        <w:t>Leitlinie 1</w:t>
      </w:r>
      <w:r w:rsidRPr="00D64393">
        <w:rPr>
          <w:rFonts w:ascii="Verdana" w:hAnsi="Verdana"/>
          <w:sz w:val="20"/>
          <w:szCs w:val="20"/>
        </w:rPr>
        <w:t>: Konsolidierung der Haushalte, Abbau übermäßiger Defizite.</w:t>
      </w:r>
      <w:r w:rsidRPr="00D64393">
        <w:rPr>
          <w:rFonts w:ascii="Verdana" w:hAnsi="Verdana"/>
          <w:sz w:val="20"/>
          <w:szCs w:val="20"/>
        </w:rPr>
        <w:br/>
      </w:r>
      <w:r w:rsidRPr="004F3383">
        <w:rPr>
          <w:rFonts w:ascii="Verdana" w:hAnsi="Verdana"/>
          <w:b/>
          <w:sz w:val="20"/>
          <w:szCs w:val="20"/>
        </w:rPr>
        <w:t>Leitlinie 2</w:t>
      </w:r>
      <w:r w:rsidRPr="00D64393">
        <w:rPr>
          <w:rFonts w:ascii="Verdana" w:hAnsi="Verdana"/>
          <w:sz w:val="20"/>
          <w:szCs w:val="20"/>
        </w:rPr>
        <w:t xml:space="preserve">: Beseitigung untragbarer </w:t>
      </w:r>
      <w:r w:rsidR="004F3383" w:rsidRPr="00D64393">
        <w:rPr>
          <w:rFonts w:ascii="Verdana" w:hAnsi="Verdana"/>
          <w:sz w:val="20"/>
          <w:szCs w:val="20"/>
        </w:rPr>
        <w:t>makroökonomischer</w:t>
      </w:r>
      <w:r w:rsidRPr="00D64393">
        <w:rPr>
          <w:rFonts w:ascii="Verdana" w:hAnsi="Verdana"/>
          <w:sz w:val="20"/>
          <w:szCs w:val="20"/>
        </w:rPr>
        <w:t xml:space="preserve"> Ungleichgewichte (</w:t>
      </w:r>
      <w:proofErr w:type="spellStart"/>
      <w:r w:rsidRPr="00D64393">
        <w:rPr>
          <w:rFonts w:ascii="Verdana" w:hAnsi="Verdana"/>
          <w:sz w:val="20"/>
          <w:szCs w:val="20"/>
        </w:rPr>
        <w:t>zB</w:t>
      </w:r>
      <w:proofErr w:type="spellEnd"/>
      <w:r w:rsidRPr="00D64393">
        <w:rPr>
          <w:rFonts w:ascii="Verdana" w:hAnsi="Verdana"/>
          <w:sz w:val="20"/>
          <w:szCs w:val="20"/>
        </w:rPr>
        <w:t xml:space="preserve"> Leistungsbilanz).</w:t>
      </w:r>
      <w:r w:rsidRPr="00D64393">
        <w:rPr>
          <w:rFonts w:ascii="Verdana" w:hAnsi="Verdana"/>
          <w:sz w:val="20"/>
          <w:szCs w:val="20"/>
        </w:rPr>
        <w:br/>
      </w:r>
      <w:r w:rsidRPr="004F3383">
        <w:rPr>
          <w:rFonts w:ascii="Verdana" w:hAnsi="Verdana"/>
          <w:b/>
          <w:sz w:val="20"/>
          <w:szCs w:val="20"/>
        </w:rPr>
        <w:t>Leitlinie 3</w:t>
      </w:r>
      <w:r w:rsidRPr="00D64393">
        <w:rPr>
          <w:rFonts w:ascii="Verdana" w:hAnsi="Verdana"/>
          <w:sz w:val="20"/>
          <w:szCs w:val="20"/>
        </w:rPr>
        <w:t>: Abbau divergierender Lohnstückkosten und Inflationstrends.</w:t>
      </w:r>
      <w:r w:rsidRPr="00D64393">
        <w:rPr>
          <w:rFonts w:ascii="Verdana" w:hAnsi="Verdana"/>
          <w:sz w:val="20"/>
          <w:szCs w:val="20"/>
        </w:rPr>
        <w:br/>
        <w:t>…</w:t>
      </w:r>
      <w:r w:rsidRPr="00D64393">
        <w:rPr>
          <w:rFonts w:ascii="Verdana" w:hAnsi="Verdana"/>
          <w:sz w:val="20"/>
          <w:szCs w:val="20"/>
        </w:rPr>
        <w:br/>
      </w:r>
      <w:r w:rsidRPr="004F3383">
        <w:rPr>
          <w:rFonts w:ascii="Verdana" w:hAnsi="Verdana"/>
          <w:b/>
          <w:sz w:val="20"/>
          <w:szCs w:val="20"/>
        </w:rPr>
        <w:t>Leitlinie 5</w:t>
      </w:r>
      <w:r w:rsidRPr="00D64393">
        <w:rPr>
          <w:rFonts w:ascii="Verdana" w:hAnsi="Verdana"/>
          <w:sz w:val="20"/>
          <w:szCs w:val="20"/>
        </w:rPr>
        <w:t>: Verbesserung der Rahmenbedingungen für Unternehmen und Verbraucher</w:t>
      </w:r>
    </w:p>
    <w:p w:rsidR="00D64393" w:rsidRPr="00D64393" w:rsidRDefault="00D64393">
      <w:pPr>
        <w:pStyle w:val="KeinLeerraum"/>
        <w:rPr>
          <w:rFonts w:ascii="Verdana" w:hAnsi="Verdana"/>
          <w:sz w:val="20"/>
          <w:szCs w:val="20"/>
        </w:rPr>
      </w:pPr>
    </w:p>
    <w:p w:rsidR="00D64393" w:rsidRPr="00D64393" w:rsidRDefault="00D64393">
      <w:pPr>
        <w:pStyle w:val="KeinLeerraum"/>
        <w:rPr>
          <w:rFonts w:ascii="Verdana" w:hAnsi="Verdana"/>
          <w:sz w:val="20"/>
          <w:szCs w:val="20"/>
        </w:rPr>
      </w:pPr>
      <w:r w:rsidRPr="00D64393">
        <w:rPr>
          <w:rFonts w:ascii="Verdana" w:hAnsi="Verdana"/>
          <w:sz w:val="20"/>
          <w:szCs w:val="20"/>
        </w:rPr>
        <w:t>-</w:t>
      </w:r>
    </w:p>
    <w:p w:rsidR="00D64393" w:rsidRPr="00D64393" w:rsidRDefault="00D64393">
      <w:pPr>
        <w:pStyle w:val="KeinLeerraum"/>
        <w:rPr>
          <w:rFonts w:ascii="Verdana" w:hAnsi="Verdana"/>
          <w:sz w:val="20"/>
          <w:szCs w:val="20"/>
        </w:rPr>
      </w:pPr>
    </w:p>
    <w:p w:rsidR="00D64393" w:rsidRPr="004F3383" w:rsidRDefault="00D64393" w:rsidP="004F3383">
      <w:pPr>
        <w:pStyle w:val="KeinLeerraum"/>
        <w:rPr>
          <w:rFonts w:ascii="Verdana" w:hAnsi="Verdana"/>
          <w:b/>
          <w:sz w:val="20"/>
          <w:szCs w:val="20"/>
          <w:u w:val="single"/>
        </w:rPr>
      </w:pPr>
      <w:r w:rsidRPr="004F3383">
        <w:rPr>
          <w:rFonts w:ascii="Verdana" w:hAnsi="Verdana"/>
          <w:sz w:val="20"/>
          <w:szCs w:val="20"/>
        </w:rPr>
        <w:t>5.</w:t>
      </w:r>
      <w:r w:rsidRPr="004F3383">
        <w:rPr>
          <w:rFonts w:ascii="Verdana" w:hAnsi="Verdana"/>
          <w:b/>
          <w:sz w:val="20"/>
          <w:szCs w:val="20"/>
        </w:rPr>
        <w:t xml:space="preserve"> </w:t>
      </w:r>
      <w:r w:rsidRPr="004F3383">
        <w:rPr>
          <w:rFonts w:ascii="Verdana" w:hAnsi="Verdana"/>
          <w:b/>
          <w:sz w:val="20"/>
          <w:szCs w:val="20"/>
          <w:u w:val="single"/>
        </w:rPr>
        <w:t>OMK und Spieltheorie</w:t>
      </w:r>
    </w:p>
    <w:p w:rsidR="004F3383" w:rsidRDefault="004F3383">
      <w:pPr>
        <w:pStyle w:val="KeinLeerraum"/>
        <w:rPr>
          <w:rFonts w:ascii="Verdana" w:hAnsi="Verdana"/>
          <w:b/>
          <w:sz w:val="20"/>
          <w:szCs w:val="20"/>
        </w:rPr>
      </w:pPr>
    </w:p>
    <w:p w:rsidR="00D64393" w:rsidRDefault="00D64393">
      <w:pPr>
        <w:pStyle w:val="KeinLeerraum"/>
      </w:pPr>
      <w:r w:rsidRPr="00D64393">
        <w:rPr>
          <w:rFonts w:ascii="Verdana" w:hAnsi="Verdana"/>
          <w:b/>
          <w:sz w:val="20"/>
          <w:szCs w:val="20"/>
        </w:rPr>
        <w:t>Nash-Gleichgewicht</w:t>
      </w:r>
      <w:r>
        <w:rPr>
          <w:rFonts w:ascii="Verdana" w:hAnsi="Verdana"/>
          <w:sz w:val="20"/>
          <w:szCs w:val="20"/>
        </w:rPr>
        <w:t xml:space="preserve">: Spielersituation, bei der keiner der Spieler ein Anreiz hat, als einziger von seiner Strategie abzuweichen. Das Nash-Gleichgewicht ist bei der OMK nicht eindeutig nachweisbar. </w:t>
      </w:r>
      <w:r w:rsidRPr="0087009B">
        <w:t>In der Industrieökonomik wird dieses Vorgehen als “</w:t>
      </w:r>
      <w:proofErr w:type="spellStart"/>
      <w:r w:rsidRPr="0087009B">
        <w:t>strategy</w:t>
      </w:r>
      <w:proofErr w:type="spellEnd"/>
      <w:r w:rsidRPr="0087009B">
        <w:t xml:space="preserve"> </w:t>
      </w:r>
      <w:proofErr w:type="spellStart"/>
      <w:r w:rsidRPr="0087009B">
        <w:t>of</w:t>
      </w:r>
      <w:proofErr w:type="spellEnd"/>
      <w:r w:rsidRPr="0087009B">
        <w:t xml:space="preserve"> </w:t>
      </w:r>
      <w:proofErr w:type="spellStart"/>
      <w:r w:rsidRPr="0087009B">
        <w:t>raising</w:t>
      </w:r>
      <w:proofErr w:type="spellEnd"/>
      <w:r w:rsidRPr="0087009B">
        <w:t xml:space="preserve"> </w:t>
      </w:r>
      <w:proofErr w:type="spellStart"/>
      <w:r w:rsidRPr="0087009B">
        <w:t>rivals</w:t>
      </w:r>
      <w:proofErr w:type="spellEnd"/>
      <w:r w:rsidRPr="0087009B">
        <w:t xml:space="preserve">‘ </w:t>
      </w:r>
      <w:proofErr w:type="spellStart"/>
      <w:r w:rsidRPr="0087009B">
        <w:t>costs</w:t>
      </w:r>
      <w:proofErr w:type="spellEnd"/>
      <w:r w:rsidRPr="0087009B">
        <w:t>” bezeichnet</w:t>
      </w:r>
      <w:r>
        <w:t>.</w:t>
      </w:r>
    </w:p>
    <w:p w:rsidR="00D64393" w:rsidRDefault="00D64393">
      <w:pPr>
        <w:pStyle w:val="KeinLeerraum"/>
      </w:pPr>
    </w:p>
    <w:p w:rsidR="00D64393" w:rsidRDefault="00D64393">
      <w:pPr>
        <w:pStyle w:val="KeinLeerraum"/>
      </w:pPr>
      <w:r>
        <w:t>-</w:t>
      </w:r>
    </w:p>
    <w:p w:rsidR="004F3383" w:rsidRDefault="004F3383">
      <w:pPr>
        <w:pStyle w:val="KeinLeerraum"/>
        <w:rPr>
          <w:rFonts w:ascii="Verdana" w:hAnsi="Verdana"/>
          <w:sz w:val="20"/>
          <w:szCs w:val="20"/>
        </w:rPr>
      </w:pPr>
    </w:p>
    <w:p w:rsidR="002E34A2" w:rsidRDefault="002E34A2">
      <w:pPr>
        <w:pStyle w:val="KeinLeerraum"/>
        <w:rPr>
          <w:rFonts w:ascii="Verdana" w:hAnsi="Verdana"/>
          <w:sz w:val="20"/>
          <w:szCs w:val="20"/>
        </w:rPr>
      </w:pPr>
    </w:p>
    <w:p w:rsidR="002E34A2" w:rsidRDefault="002E34A2">
      <w:pPr>
        <w:pStyle w:val="KeinLeerraum"/>
        <w:rPr>
          <w:rFonts w:ascii="Verdana" w:hAnsi="Verdana"/>
          <w:sz w:val="20"/>
          <w:szCs w:val="20"/>
        </w:rPr>
      </w:pPr>
    </w:p>
    <w:p w:rsidR="00D64393" w:rsidRPr="00E40585" w:rsidRDefault="00D64393">
      <w:pPr>
        <w:pStyle w:val="KeinLeerraum"/>
        <w:rPr>
          <w:rFonts w:ascii="Verdana" w:hAnsi="Verdana"/>
          <w:sz w:val="20"/>
          <w:szCs w:val="20"/>
        </w:rPr>
      </w:pPr>
      <w:r w:rsidRPr="00E40585">
        <w:rPr>
          <w:rFonts w:ascii="Verdana" w:hAnsi="Verdana"/>
          <w:sz w:val="20"/>
          <w:szCs w:val="20"/>
        </w:rPr>
        <w:lastRenderedPageBreak/>
        <w:t xml:space="preserve">6. </w:t>
      </w:r>
      <w:r w:rsidRPr="00E40585">
        <w:rPr>
          <w:rFonts w:ascii="Verdana" w:hAnsi="Verdana"/>
          <w:b/>
          <w:sz w:val="20"/>
          <w:szCs w:val="20"/>
          <w:u w:val="single"/>
        </w:rPr>
        <w:t>Zentralisierung und Pfadabhängigkeit von Politik</w:t>
      </w:r>
    </w:p>
    <w:p w:rsidR="00D64393" w:rsidRDefault="00D64393">
      <w:pPr>
        <w:pStyle w:val="KeinLeerraum"/>
      </w:pPr>
    </w:p>
    <w:p w:rsidR="00E40585" w:rsidRDefault="00E40585">
      <w:pPr>
        <w:pStyle w:val="KeinLeerraum"/>
        <w:rPr>
          <w:rFonts w:ascii="Verdana" w:hAnsi="Verdana"/>
          <w:sz w:val="20"/>
          <w:szCs w:val="20"/>
        </w:rPr>
      </w:pPr>
      <w:r w:rsidRPr="00E40585">
        <w:rPr>
          <w:rFonts w:ascii="Verdana" w:hAnsi="Verdana"/>
          <w:b/>
          <w:sz w:val="20"/>
          <w:szCs w:val="20"/>
        </w:rPr>
        <w:t>Theorie der Pfadabhängigkeit</w:t>
      </w:r>
      <w:r>
        <w:rPr>
          <w:rFonts w:ascii="Verdana" w:hAnsi="Verdana"/>
          <w:sz w:val="20"/>
          <w:szCs w:val="20"/>
        </w:rPr>
        <w:t>: historische Zufälligkeiten und relativ unbedeutende Ereignisse bilden den Ausgangspunkt von schwerwiegenden Entwicklungen.</w:t>
      </w:r>
      <w:r w:rsidR="004F3383">
        <w:rPr>
          <w:rFonts w:ascii="Verdana" w:hAnsi="Verdana"/>
          <w:sz w:val="20"/>
          <w:szCs w:val="20"/>
        </w:rPr>
        <w:br/>
      </w:r>
      <w:r w:rsidR="004F3383" w:rsidRPr="004F3383">
        <w:rPr>
          <w:rFonts w:ascii="Verdana" w:hAnsi="Verdana"/>
          <w:sz w:val="20"/>
          <w:szCs w:val="20"/>
        </w:rPr>
        <w:sym w:font="Wingdings" w:char="F0E0"/>
      </w:r>
      <w:proofErr w:type="spellStart"/>
      <w:r w:rsidR="004F3383">
        <w:rPr>
          <w:rFonts w:ascii="Verdana" w:hAnsi="Verdana"/>
          <w:sz w:val="20"/>
          <w:szCs w:val="20"/>
        </w:rPr>
        <w:t>Inflextibilität</w:t>
      </w:r>
      <w:proofErr w:type="spellEnd"/>
      <w:r w:rsidR="004F3383">
        <w:rPr>
          <w:rFonts w:ascii="Verdana" w:hAnsi="Verdana"/>
          <w:sz w:val="20"/>
          <w:szCs w:val="20"/>
        </w:rPr>
        <w:t xml:space="preserve"> erschwert Übernahme von Regelungen aus </w:t>
      </w:r>
      <w:proofErr w:type="gramStart"/>
      <w:r w:rsidR="004F3383">
        <w:rPr>
          <w:rFonts w:ascii="Verdana" w:hAnsi="Verdana"/>
          <w:sz w:val="20"/>
          <w:szCs w:val="20"/>
        </w:rPr>
        <w:t>andere</w:t>
      </w:r>
      <w:proofErr w:type="gramEnd"/>
      <w:r w:rsidR="004F3383">
        <w:rPr>
          <w:rFonts w:ascii="Verdana" w:hAnsi="Verdana"/>
          <w:sz w:val="20"/>
          <w:szCs w:val="20"/>
        </w:rPr>
        <w:t xml:space="preserve"> Ländern.</w:t>
      </w:r>
      <w:r>
        <w:rPr>
          <w:rFonts w:ascii="Verdana" w:hAnsi="Verdana"/>
          <w:sz w:val="20"/>
          <w:szCs w:val="20"/>
        </w:rPr>
        <w:br/>
      </w:r>
    </w:p>
    <w:p w:rsidR="00D64393" w:rsidRDefault="00E40585">
      <w:pPr>
        <w:pStyle w:val="KeinLeerraum"/>
        <w:rPr>
          <w:rFonts w:ascii="Verdana" w:hAnsi="Verdana"/>
          <w:sz w:val="20"/>
          <w:szCs w:val="20"/>
        </w:rPr>
      </w:pPr>
      <w:r w:rsidRPr="00E40585">
        <w:rPr>
          <w:rFonts w:ascii="Verdana" w:hAnsi="Verdana"/>
          <w:b/>
          <w:sz w:val="20"/>
          <w:szCs w:val="20"/>
        </w:rPr>
        <w:t>Kritik</w:t>
      </w:r>
      <w:r>
        <w:rPr>
          <w:rFonts w:ascii="Verdana" w:hAnsi="Verdana"/>
          <w:sz w:val="20"/>
          <w:szCs w:val="20"/>
        </w:rPr>
        <w:t>: These, der zu Folge v.a. ökonomische Eliten wie Kanzler, Premierminister, Lobbyisten institutionelle Veränderungen ermöglichen.</w:t>
      </w:r>
    </w:p>
    <w:p w:rsidR="00077086" w:rsidRDefault="00077086">
      <w:pPr>
        <w:pStyle w:val="KeinLeerraum"/>
        <w:rPr>
          <w:rFonts w:ascii="Verdana" w:hAnsi="Verdana"/>
          <w:sz w:val="20"/>
          <w:szCs w:val="20"/>
        </w:rPr>
      </w:pPr>
    </w:p>
    <w:p w:rsidR="00077086" w:rsidRDefault="00077086">
      <w:pPr>
        <w:pStyle w:val="KeinLeerraum"/>
        <w:rPr>
          <w:rFonts w:ascii="Verdana" w:hAnsi="Verdana"/>
          <w:sz w:val="20"/>
          <w:szCs w:val="20"/>
        </w:rPr>
      </w:pPr>
      <w:r>
        <w:rPr>
          <w:rFonts w:ascii="Verdana" w:hAnsi="Verdana"/>
          <w:sz w:val="20"/>
          <w:szCs w:val="20"/>
        </w:rPr>
        <w:t xml:space="preserve">Europäische Arbeitsmarktsituation dient in erster Linie der </w:t>
      </w:r>
      <w:proofErr w:type="spellStart"/>
      <w:r w:rsidRPr="00077086">
        <w:rPr>
          <w:rFonts w:ascii="Verdana" w:hAnsi="Verdana"/>
          <w:b/>
          <w:sz w:val="20"/>
          <w:szCs w:val="20"/>
        </w:rPr>
        <w:t>Rent</w:t>
      </w:r>
      <w:proofErr w:type="spellEnd"/>
      <w:r w:rsidRPr="00077086">
        <w:rPr>
          <w:rFonts w:ascii="Verdana" w:hAnsi="Verdana"/>
          <w:b/>
          <w:sz w:val="20"/>
          <w:szCs w:val="20"/>
        </w:rPr>
        <w:t>-</w:t>
      </w:r>
      <w:proofErr w:type="spellStart"/>
      <w:r w:rsidRPr="00077086">
        <w:rPr>
          <w:rFonts w:ascii="Verdana" w:hAnsi="Verdana"/>
          <w:b/>
          <w:sz w:val="20"/>
          <w:szCs w:val="20"/>
        </w:rPr>
        <w:t>Seeking</w:t>
      </w:r>
      <w:proofErr w:type="spellEnd"/>
      <w:r w:rsidRPr="00077086">
        <w:rPr>
          <w:rFonts w:ascii="Verdana" w:hAnsi="Verdana"/>
          <w:b/>
          <w:sz w:val="20"/>
          <w:szCs w:val="20"/>
        </w:rPr>
        <w:t>-Aktivitäten</w:t>
      </w:r>
      <w:r>
        <w:rPr>
          <w:rFonts w:ascii="Verdana" w:hAnsi="Verdana"/>
          <w:sz w:val="20"/>
          <w:szCs w:val="20"/>
        </w:rPr>
        <w:t xml:space="preserve"> von Gewerkschaften. Als Folge wird argumentiert, dass eine Arbeitsmarktderegulierung die einzige europäische Lösung sei. Soziale Sicherheit ist auch ein entscheidendes Motiv.</w:t>
      </w:r>
    </w:p>
    <w:p w:rsidR="004F3383" w:rsidRDefault="004F3383">
      <w:pPr>
        <w:pStyle w:val="KeinLeerraum"/>
        <w:rPr>
          <w:rFonts w:ascii="Verdana" w:hAnsi="Verdana"/>
          <w:sz w:val="20"/>
          <w:szCs w:val="20"/>
        </w:rPr>
      </w:pPr>
    </w:p>
    <w:p w:rsidR="00077086" w:rsidRPr="003D7640" w:rsidRDefault="003D7640">
      <w:pPr>
        <w:pStyle w:val="KeinLeerraum"/>
        <w:rPr>
          <w:rFonts w:ascii="Verdana" w:hAnsi="Verdana"/>
          <w:sz w:val="20"/>
          <w:szCs w:val="20"/>
        </w:rPr>
      </w:pPr>
      <w:r w:rsidRPr="003D7640">
        <w:rPr>
          <w:rFonts w:ascii="Verdana" w:hAnsi="Verdana"/>
          <w:sz w:val="20"/>
          <w:szCs w:val="20"/>
        </w:rPr>
        <w:t>-</w:t>
      </w:r>
    </w:p>
    <w:p w:rsidR="003D7640" w:rsidRPr="003D7640" w:rsidRDefault="003D7640">
      <w:pPr>
        <w:pStyle w:val="KeinLeerraum"/>
        <w:rPr>
          <w:rFonts w:ascii="Verdana" w:hAnsi="Verdana"/>
          <w:sz w:val="20"/>
          <w:szCs w:val="20"/>
        </w:rPr>
      </w:pPr>
    </w:p>
    <w:p w:rsidR="003D7640" w:rsidRPr="002E34A2" w:rsidRDefault="003D7640">
      <w:pPr>
        <w:pStyle w:val="KeinLeerraum"/>
        <w:rPr>
          <w:rFonts w:ascii="Verdana" w:hAnsi="Verdana"/>
          <w:b/>
          <w:sz w:val="20"/>
          <w:szCs w:val="20"/>
          <w:u w:val="single"/>
        </w:rPr>
      </w:pPr>
      <w:r w:rsidRPr="003D7640">
        <w:rPr>
          <w:rFonts w:ascii="Verdana" w:hAnsi="Verdana"/>
          <w:sz w:val="20"/>
          <w:szCs w:val="20"/>
        </w:rPr>
        <w:t xml:space="preserve">7. </w:t>
      </w:r>
      <w:bookmarkStart w:id="0" w:name="_GoBack"/>
      <w:r w:rsidRPr="002E34A2">
        <w:rPr>
          <w:rFonts w:ascii="Verdana" w:hAnsi="Verdana"/>
          <w:b/>
          <w:sz w:val="20"/>
          <w:szCs w:val="20"/>
          <w:u w:val="single"/>
        </w:rPr>
        <w:t>Zusätzliche Informationen zur OMK</w:t>
      </w:r>
    </w:p>
    <w:bookmarkEnd w:id="0"/>
    <w:p w:rsidR="003D7640" w:rsidRPr="003D7640" w:rsidRDefault="003D7640">
      <w:pPr>
        <w:pStyle w:val="KeinLeerraum"/>
        <w:rPr>
          <w:rFonts w:ascii="Verdana" w:hAnsi="Verdana"/>
          <w:sz w:val="20"/>
          <w:szCs w:val="20"/>
        </w:rPr>
      </w:pPr>
    </w:p>
    <w:p w:rsidR="003D7640" w:rsidRDefault="003D7640">
      <w:pPr>
        <w:pStyle w:val="KeinLeerraum"/>
        <w:rPr>
          <w:rFonts w:ascii="Verdana" w:hAnsi="Verdana"/>
          <w:sz w:val="20"/>
          <w:szCs w:val="20"/>
        </w:rPr>
      </w:pPr>
      <w:r w:rsidRPr="003D7640">
        <w:rPr>
          <w:rFonts w:ascii="Verdana" w:hAnsi="Verdana"/>
          <w:b/>
          <w:sz w:val="20"/>
          <w:szCs w:val="20"/>
        </w:rPr>
        <w:t>Philipps-Kurve</w:t>
      </w:r>
      <w:r w:rsidRPr="003D7640">
        <w:rPr>
          <w:rFonts w:ascii="Verdana" w:hAnsi="Verdana"/>
          <w:sz w:val="20"/>
          <w:szCs w:val="20"/>
        </w:rPr>
        <w:t xml:space="preserve">: laut </w:t>
      </w:r>
      <w:proofErr w:type="spellStart"/>
      <w:r w:rsidRPr="003D7640">
        <w:rPr>
          <w:rFonts w:ascii="Verdana" w:hAnsi="Verdana"/>
          <w:sz w:val="20"/>
          <w:szCs w:val="20"/>
        </w:rPr>
        <w:t>Keynesianer</w:t>
      </w:r>
      <w:proofErr w:type="spellEnd"/>
      <w:r w:rsidRPr="003D7640">
        <w:rPr>
          <w:rFonts w:ascii="Verdana" w:hAnsi="Verdana"/>
          <w:sz w:val="20"/>
          <w:szCs w:val="20"/>
        </w:rPr>
        <w:t xml:space="preserve"> ein Dilemma zwischen Inflation und Arbeitslosigkeit. Neoklassiker kritisieren, dass Inflation und damit sinkende Reallöhne von Arbeitern oft nicht erkannt werden und deswegen nicht zu höheren Lohnforderungen führen. Nach den Monetaristen verläuft die langfristige Philipps-Kurve vertikal.</w:t>
      </w:r>
    </w:p>
    <w:p w:rsidR="003D7640" w:rsidRDefault="003D7640">
      <w:pPr>
        <w:pStyle w:val="KeinLeerraum"/>
        <w:rPr>
          <w:rFonts w:ascii="Verdana" w:hAnsi="Verdana"/>
          <w:sz w:val="20"/>
          <w:szCs w:val="20"/>
        </w:rPr>
      </w:pPr>
    </w:p>
    <w:p w:rsidR="003D7640" w:rsidRDefault="003D7640">
      <w:pPr>
        <w:pStyle w:val="KeinLeerraum"/>
        <w:rPr>
          <w:rFonts w:ascii="Verdana" w:hAnsi="Verdana"/>
          <w:sz w:val="20"/>
          <w:szCs w:val="20"/>
        </w:rPr>
      </w:pPr>
      <w:r>
        <w:rPr>
          <w:rFonts w:ascii="Verdana" w:hAnsi="Verdana"/>
          <w:sz w:val="20"/>
          <w:szCs w:val="20"/>
        </w:rPr>
        <w:t>-</w:t>
      </w:r>
    </w:p>
    <w:p w:rsidR="003D7640" w:rsidRDefault="003D7640">
      <w:pPr>
        <w:pStyle w:val="KeinLeerraum"/>
        <w:rPr>
          <w:rFonts w:ascii="Verdana" w:hAnsi="Verdana"/>
          <w:sz w:val="20"/>
          <w:szCs w:val="20"/>
        </w:rPr>
      </w:pPr>
    </w:p>
    <w:p w:rsidR="003D7640" w:rsidRPr="00647770" w:rsidRDefault="003D7640" w:rsidP="00647770">
      <w:pPr>
        <w:pStyle w:val="KeinLeerraum"/>
        <w:rPr>
          <w:rFonts w:ascii="Verdana" w:hAnsi="Verdana"/>
          <w:b/>
          <w:sz w:val="20"/>
          <w:szCs w:val="20"/>
          <w:u w:val="single"/>
        </w:rPr>
      </w:pPr>
      <w:r w:rsidRPr="00647770">
        <w:rPr>
          <w:rFonts w:ascii="Verdana" w:hAnsi="Verdana"/>
          <w:b/>
          <w:sz w:val="20"/>
          <w:szCs w:val="20"/>
          <w:u w:val="single"/>
        </w:rPr>
        <w:t>Thesen zur Einführung der Europäischen Beschäftigungspolitik</w:t>
      </w:r>
    </w:p>
    <w:p w:rsidR="003D7640" w:rsidRPr="00221C72" w:rsidRDefault="00647770" w:rsidP="00221C72">
      <w:pPr>
        <w:pStyle w:val="KeinLeerraum"/>
        <w:rPr>
          <w:rFonts w:ascii="Verdana" w:hAnsi="Verdana"/>
          <w:sz w:val="20"/>
          <w:szCs w:val="20"/>
        </w:rPr>
      </w:pPr>
      <w:r>
        <w:rPr>
          <w:b/>
        </w:rPr>
        <w:br/>
      </w:r>
      <w:r w:rsidR="003D7640" w:rsidRPr="00221C72">
        <w:rPr>
          <w:rFonts w:ascii="Verdana" w:hAnsi="Verdana"/>
          <w:b/>
          <w:sz w:val="20"/>
          <w:szCs w:val="20"/>
        </w:rPr>
        <w:t>Theoretische Gründe</w:t>
      </w:r>
      <w:r w:rsidR="003D7640" w:rsidRPr="00221C72">
        <w:rPr>
          <w:rFonts w:ascii="Verdana" w:hAnsi="Verdana"/>
          <w:sz w:val="20"/>
          <w:szCs w:val="20"/>
        </w:rPr>
        <w:t>:</w:t>
      </w:r>
      <w:r w:rsidR="003D7640" w:rsidRPr="00221C72">
        <w:rPr>
          <w:rFonts w:ascii="Verdana" w:hAnsi="Verdana"/>
          <w:sz w:val="20"/>
          <w:szCs w:val="20"/>
        </w:rPr>
        <w:br/>
      </w:r>
      <w:r w:rsidR="003D7640" w:rsidRPr="00221C72">
        <w:rPr>
          <w:rFonts w:ascii="Verdana" w:hAnsi="Verdana"/>
          <w:b/>
          <w:sz w:val="20"/>
          <w:szCs w:val="20"/>
        </w:rPr>
        <w:t>Pro</w:t>
      </w:r>
      <w:r w:rsidR="003D7640" w:rsidRPr="00221C72">
        <w:rPr>
          <w:rFonts w:ascii="Verdana" w:hAnsi="Verdana"/>
          <w:sz w:val="20"/>
          <w:szCs w:val="20"/>
        </w:rPr>
        <w:t xml:space="preserve">: </w:t>
      </w:r>
      <w:proofErr w:type="spellStart"/>
      <w:r w:rsidR="003D7640" w:rsidRPr="00221C72">
        <w:rPr>
          <w:rFonts w:ascii="Verdana" w:hAnsi="Verdana"/>
          <w:sz w:val="20"/>
          <w:szCs w:val="20"/>
        </w:rPr>
        <w:t>Race</w:t>
      </w:r>
      <w:proofErr w:type="spellEnd"/>
      <w:r w:rsidR="003D7640" w:rsidRPr="00221C72">
        <w:rPr>
          <w:rFonts w:ascii="Verdana" w:hAnsi="Verdana"/>
          <w:sz w:val="20"/>
          <w:szCs w:val="20"/>
        </w:rPr>
        <w:t>-</w:t>
      </w:r>
      <w:proofErr w:type="spellStart"/>
      <w:r w:rsidR="003D7640" w:rsidRPr="00221C72">
        <w:rPr>
          <w:rFonts w:ascii="Verdana" w:hAnsi="Verdana"/>
          <w:sz w:val="20"/>
          <w:szCs w:val="20"/>
        </w:rPr>
        <w:t>to</w:t>
      </w:r>
      <w:proofErr w:type="spellEnd"/>
      <w:r w:rsidR="003D7640" w:rsidRPr="00221C72">
        <w:rPr>
          <w:rFonts w:ascii="Verdana" w:hAnsi="Verdana"/>
          <w:sz w:val="20"/>
          <w:szCs w:val="20"/>
        </w:rPr>
        <w:t>-</w:t>
      </w:r>
      <w:proofErr w:type="spellStart"/>
      <w:r w:rsidR="003D7640" w:rsidRPr="00221C72">
        <w:rPr>
          <w:rFonts w:ascii="Verdana" w:hAnsi="Verdana"/>
          <w:sz w:val="20"/>
          <w:szCs w:val="20"/>
        </w:rPr>
        <w:t>the</w:t>
      </w:r>
      <w:proofErr w:type="spellEnd"/>
      <w:r w:rsidR="003D7640" w:rsidRPr="00221C72">
        <w:rPr>
          <w:rFonts w:ascii="Verdana" w:hAnsi="Verdana"/>
          <w:sz w:val="20"/>
          <w:szCs w:val="20"/>
        </w:rPr>
        <w:t>-</w:t>
      </w:r>
      <w:proofErr w:type="spellStart"/>
      <w:r w:rsidR="003D7640" w:rsidRPr="00221C72">
        <w:rPr>
          <w:rFonts w:ascii="Verdana" w:hAnsi="Verdana"/>
          <w:sz w:val="20"/>
          <w:szCs w:val="20"/>
        </w:rPr>
        <w:t>bottom</w:t>
      </w:r>
      <w:proofErr w:type="spellEnd"/>
      <w:r w:rsidR="003D7640" w:rsidRPr="00221C72">
        <w:rPr>
          <w:rFonts w:ascii="Verdana" w:hAnsi="Verdana"/>
          <w:sz w:val="20"/>
          <w:szCs w:val="20"/>
        </w:rPr>
        <w:t>-These, soziale Integration als Ergänzung zum deregulierten Binnenmarkt</w:t>
      </w:r>
      <w:r w:rsidRPr="00221C72">
        <w:rPr>
          <w:rFonts w:ascii="Verdana" w:hAnsi="Verdana"/>
          <w:sz w:val="20"/>
          <w:szCs w:val="20"/>
        </w:rPr>
        <w:t xml:space="preserve"> </w:t>
      </w:r>
      <w:r w:rsidR="003D7640" w:rsidRPr="00221C72">
        <w:rPr>
          <w:rFonts w:ascii="Verdana" w:hAnsi="Verdana"/>
          <w:sz w:val="20"/>
          <w:szCs w:val="20"/>
        </w:rPr>
        <w:t>Spill-</w:t>
      </w:r>
      <w:proofErr w:type="spellStart"/>
      <w:r w:rsidR="003D7640" w:rsidRPr="00221C72">
        <w:rPr>
          <w:rFonts w:ascii="Verdana" w:hAnsi="Verdana"/>
          <w:sz w:val="20"/>
          <w:szCs w:val="20"/>
        </w:rPr>
        <w:t>over</w:t>
      </w:r>
      <w:proofErr w:type="spellEnd"/>
      <w:r w:rsidR="003D7640" w:rsidRPr="00221C72">
        <w:rPr>
          <w:rFonts w:ascii="Verdana" w:hAnsi="Verdana"/>
          <w:sz w:val="20"/>
          <w:szCs w:val="20"/>
        </w:rPr>
        <w:t>-Effekt.</w:t>
      </w:r>
      <w:r w:rsidRPr="00221C72">
        <w:rPr>
          <w:rFonts w:ascii="Verdana" w:hAnsi="Verdana"/>
          <w:sz w:val="20"/>
          <w:szCs w:val="20"/>
        </w:rPr>
        <w:br/>
      </w:r>
      <w:r w:rsidR="003D7640" w:rsidRPr="00221C72">
        <w:rPr>
          <w:rFonts w:ascii="Verdana" w:hAnsi="Verdana"/>
          <w:b/>
          <w:sz w:val="20"/>
          <w:szCs w:val="20"/>
        </w:rPr>
        <w:t>Kontra</w:t>
      </w:r>
      <w:r w:rsidR="003D7640" w:rsidRPr="00221C72">
        <w:rPr>
          <w:rFonts w:ascii="Verdana" w:hAnsi="Verdana"/>
          <w:sz w:val="20"/>
          <w:szCs w:val="20"/>
        </w:rPr>
        <w:t>: Situation eines asymmetrischen Gefangenendilemmas im Politikbereich der supranationalen Sozialpolitik behindert eine Harmonisierung auf gemeinschaftlicher Ebene. Geringer Output: Wenn Konsens zwischen nationalen Akteuren, dann nur unter Hinnahme massiver Reibungsverluste.</w:t>
      </w:r>
    </w:p>
    <w:p w:rsidR="00221C72" w:rsidRDefault="00221C72" w:rsidP="00221C72">
      <w:pPr>
        <w:pStyle w:val="KeinLeerraum"/>
        <w:rPr>
          <w:rFonts w:ascii="Verdana" w:hAnsi="Verdana"/>
          <w:sz w:val="20"/>
          <w:szCs w:val="20"/>
        </w:rPr>
      </w:pPr>
    </w:p>
    <w:p w:rsidR="003D7640" w:rsidRPr="00221C72" w:rsidRDefault="003D7640" w:rsidP="00221C72">
      <w:pPr>
        <w:pStyle w:val="KeinLeerraum"/>
        <w:rPr>
          <w:rFonts w:ascii="Verdana" w:hAnsi="Verdana"/>
          <w:sz w:val="20"/>
          <w:szCs w:val="20"/>
        </w:rPr>
      </w:pPr>
      <w:r w:rsidRPr="00221C72">
        <w:rPr>
          <w:rFonts w:ascii="Verdana" w:hAnsi="Verdana"/>
          <w:sz w:val="20"/>
          <w:szCs w:val="20"/>
        </w:rPr>
        <w:t>-</w:t>
      </w:r>
    </w:p>
    <w:p w:rsidR="00221C72" w:rsidRDefault="00221C72" w:rsidP="00221C72">
      <w:pPr>
        <w:pStyle w:val="KeinLeerraum"/>
        <w:rPr>
          <w:rFonts w:ascii="Verdana" w:hAnsi="Verdana"/>
          <w:b/>
          <w:sz w:val="20"/>
          <w:szCs w:val="20"/>
        </w:rPr>
      </w:pPr>
    </w:p>
    <w:p w:rsidR="008B42B9" w:rsidRPr="00221C72" w:rsidRDefault="003D7640" w:rsidP="00221C72">
      <w:pPr>
        <w:pStyle w:val="KeinLeerraum"/>
        <w:rPr>
          <w:rFonts w:ascii="Verdana" w:hAnsi="Verdana"/>
          <w:sz w:val="20"/>
          <w:szCs w:val="20"/>
        </w:rPr>
      </w:pPr>
      <w:r w:rsidRPr="00221C72">
        <w:rPr>
          <w:rFonts w:ascii="Verdana" w:hAnsi="Verdana"/>
          <w:b/>
          <w:sz w:val="20"/>
          <w:szCs w:val="20"/>
        </w:rPr>
        <w:t>Ökonomische Gründe</w:t>
      </w:r>
      <w:r w:rsidRPr="00221C72">
        <w:rPr>
          <w:rFonts w:ascii="Verdana" w:hAnsi="Verdana"/>
          <w:b/>
          <w:sz w:val="20"/>
          <w:szCs w:val="20"/>
        </w:rPr>
        <w:br/>
        <w:t>Pro</w:t>
      </w:r>
      <w:r w:rsidRPr="00221C72">
        <w:rPr>
          <w:rFonts w:ascii="Verdana" w:hAnsi="Verdana"/>
          <w:sz w:val="20"/>
          <w:szCs w:val="20"/>
        </w:rPr>
        <w:t>: OMK erhöht den Druck auf nationale Regierungen, Arbeitslosigkeit wirksam zu umgehen.</w:t>
      </w:r>
      <w:r w:rsidRPr="00221C72">
        <w:rPr>
          <w:rFonts w:ascii="Verdana" w:hAnsi="Verdana"/>
          <w:sz w:val="20"/>
          <w:szCs w:val="20"/>
        </w:rPr>
        <w:br/>
      </w:r>
      <w:r w:rsidRPr="00221C72">
        <w:rPr>
          <w:rFonts w:ascii="Verdana" w:hAnsi="Verdana"/>
          <w:b/>
          <w:sz w:val="20"/>
          <w:szCs w:val="20"/>
        </w:rPr>
        <w:t>Kontra</w:t>
      </w:r>
      <w:r w:rsidRPr="00221C72">
        <w:rPr>
          <w:rFonts w:ascii="Verdana" w:hAnsi="Verdana"/>
          <w:sz w:val="20"/>
          <w:szCs w:val="20"/>
        </w:rPr>
        <w:t xml:space="preserve">: Pfadabhängigkeiten verhindern </w:t>
      </w:r>
      <w:proofErr w:type="spellStart"/>
      <w:r w:rsidR="008B42B9" w:rsidRPr="00221C72">
        <w:rPr>
          <w:rFonts w:ascii="Verdana" w:hAnsi="Verdana"/>
          <w:sz w:val="20"/>
          <w:szCs w:val="20"/>
        </w:rPr>
        <w:t>one</w:t>
      </w:r>
      <w:proofErr w:type="spellEnd"/>
      <w:r w:rsidR="008B42B9" w:rsidRPr="00221C72">
        <w:rPr>
          <w:rFonts w:ascii="Verdana" w:hAnsi="Verdana"/>
          <w:sz w:val="20"/>
          <w:szCs w:val="20"/>
        </w:rPr>
        <w:t>-best-</w:t>
      </w:r>
      <w:proofErr w:type="spellStart"/>
      <w:r w:rsidR="008B42B9" w:rsidRPr="00221C72">
        <w:rPr>
          <w:rFonts w:ascii="Verdana" w:hAnsi="Verdana"/>
          <w:sz w:val="20"/>
          <w:szCs w:val="20"/>
        </w:rPr>
        <w:t>way</w:t>
      </w:r>
      <w:proofErr w:type="spellEnd"/>
      <w:r w:rsidR="008B42B9" w:rsidRPr="00221C72">
        <w:rPr>
          <w:rFonts w:ascii="Verdana" w:hAnsi="Verdana"/>
          <w:sz w:val="20"/>
          <w:szCs w:val="20"/>
        </w:rPr>
        <w:t xml:space="preserve"> These.</w:t>
      </w:r>
      <w:r w:rsidRPr="00221C72">
        <w:rPr>
          <w:rFonts w:ascii="Verdana" w:hAnsi="Verdana"/>
          <w:sz w:val="20"/>
          <w:szCs w:val="20"/>
        </w:rPr>
        <w:t xml:space="preserve"> </w:t>
      </w:r>
      <w:r w:rsidR="008B42B9" w:rsidRPr="00221C72">
        <w:rPr>
          <w:rFonts w:ascii="Verdana" w:hAnsi="Verdana"/>
          <w:sz w:val="20"/>
          <w:szCs w:val="20"/>
        </w:rPr>
        <w:br/>
      </w:r>
      <w:r w:rsidR="008B42B9" w:rsidRPr="00221C72">
        <w:rPr>
          <w:rFonts w:ascii="Verdana" w:hAnsi="Verdana"/>
          <w:b/>
          <w:sz w:val="20"/>
          <w:szCs w:val="20"/>
        </w:rPr>
        <w:t>Pro</w:t>
      </w:r>
      <w:r w:rsidR="008B42B9" w:rsidRPr="00221C72">
        <w:rPr>
          <w:rFonts w:ascii="Verdana" w:hAnsi="Verdana"/>
          <w:sz w:val="20"/>
          <w:szCs w:val="20"/>
        </w:rPr>
        <w:t>: Ist Arbeitslosigkeit ein konjunkturelles Phänomen, könnte Koordinierung angemessen sein.</w:t>
      </w:r>
      <w:r w:rsidR="008B42B9" w:rsidRPr="00221C72">
        <w:rPr>
          <w:rFonts w:ascii="Verdana" w:hAnsi="Verdana"/>
          <w:sz w:val="20"/>
          <w:szCs w:val="20"/>
        </w:rPr>
        <w:br/>
      </w:r>
      <w:r w:rsidR="008B42B9" w:rsidRPr="00221C72">
        <w:rPr>
          <w:rFonts w:ascii="Verdana" w:hAnsi="Verdana"/>
          <w:b/>
          <w:sz w:val="20"/>
          <w:szCs w:val="20"/>
        </w:rPr>
        <w:t>Kontra</w:t>
      </w:r>
      <w:r w:rsidR="008B42B9" w:rsidRPr="00221C72">
        <w:rPr>
          <w:rFonts w:ascii="Verdana" w:hAnsi="Verdana"/>
          <w:sz w:val="20"/>
          <w:szCs w:val="20"/>
        </w:rPr>
        <w:t>: Ist Arbeitslosigkeit ein strukturelles Problem, ist Koordinierung nicht erforderlich.</w:t>
      </w:r>
      <w:r w:rsidR="00647770" w:rsidRPr="00221C72">
        <w:rPr>
          <w:rFonts w:ascii="Verdana" w:hAnsi="Verdana"/>
          <w:sz w:val="20"/>
          <w:szCs w:val="20"/>
        </w:rPr>
        <w:br/>
      </w:r>
      <w:r w:rsidR="00647770" w:rsidRPr="00221C72">
        <w:rPr>
          <w:rFonts w:ascii="Verdana" w:hAnsi="Verdana"/>
          <w:b/>
          <w:sz w:val="20"/>
          <w:szCs w:val="20"/>
        </w:rPr>
        <w:t>Kontra</w:t>
      </w:r>
      <w:r w:rsidR="00647770" w:rsidRPr="00221C72">
        <w:rPr>
          <w:rFonts w:ascii="Verdana" w:hAnsi="Verdana"/>
          <w:sz w:val="20"/>
          <w:szCs w:val="20"/>
        </w:rPr>
        <w:t xml:space="preserve">: Empirische Studien zeigen: Je großzügiger das Transfersystem eines Lands ist, desto stärker lockt es via Selbstselektion diejenigen Migranten, die wenig leistungsbereit sind. Also: Zugang zum Sozialsystem mit Karenzzeit belegen, Kürzung bei </w:t>
      </w:r>
      <w:proofErr w:type="gramStart"/>
      <w:r w:rsidR="00647770" w:rsidRPr="00221C72">
        <w:rPr>
          <w:rFonts w:ascii="Verdana" w:hAnsi="Verdana"/>
          <w:sz w:val="20"/>
          <w:szCs w:val="20"/>
        </w:rPr>
        <w:t>Mindestlohn, ..</w:t>
      </w:r>
      <w:proofErr w:type="gramEnd"/>
      <w:r w:rsidR="00647770" w:rsidRPr="00221C72">
        <w:rPr>
          <w:rFonts w:ascii="Verdana" w:hAnsi="Verdana"/>
          <w:sz w:val="20"/>
          <w:szCs w:val="20"/>
        </w:rPr>
        <w:br/>
      </w:r>
    </w:p>
    <w:p w:rsidR="008B42B9" w:rsidRPr="00221C72" w:rsidRDefault="008B42B9" w:rsidP="00221C72">
      <w:pPr>
        <w:pStyle w:val="KeinLeerraum"/>
        <w:rPr>
          <w:rFonts w:ascii="Verdana" w:hAnsi="Verdana"/>
          <w:sz w:val="20"/>
          <w:szCs w:val="20"/>
        </w:rPr>
      </w:pPr>
      <w:r w:rsidRPr="00221C72">
        <w:rPr>
          <w:rFonts w:ascii="Verdana" w:hAnsi="Verdana"/>
          <w:sz w:val="20"/>
          <w:szCs w:val="20"/>
        </w:rPr>
        <w:t>-</w:t>
      </w:r>
    </w:p>
    <w:p w:rsidR="00221C72" w:rsidRDefault="00221C72" w:rsidP="00221C72">
      <w:pPr>
        <w:pStyle w:val="KeinLeerraum"/>
        <w:rPr>
          <w:rFonts w:ascii="Verdana" w:hAnsi="Verdana"/>
          <w:b/>
          <w:sz w:val="20"/>
          <w:szCs w:val="20"/>
        </w:rPr>
      </w:pPr>
    </w:p>
    <w:p w:rsidR="008B42B9" w:rsidRPr="00221C72" w:rsidRDefault="008B42B9" w:rsidP="00221C72">
      <w:pPr>
        <w:pStyle w:val="KeinLeerraum"/>
        <w:rPr>
          <w:rFonts w:ascii="Verdana" w:hAnsi="Verdana"/>
          <w:sz w:val="20"/>
          <w:szCs w:val="20"/>
        </w:rPr>
      </w:pPr>
      <w:r w:rsidRPr="00221C72">
        <w:rPr>
          <w:rFonts w:ascii="Verdana" w:hAnsi="Verdana"/>
          <w:b/>
          <w:sz w:val="20"/>
          <w:szCs w:val="20"/>
        </w:rPr>
        <w:t>Rechtliche Gründe</w:t>
      </w:r>
      <w:r w:rsidRPr="00221C72">
        <w:rPr>
          <w:rFonts w:ascii="Verdana" w:hAnsi="Verdana"/>
          <w:sz w:val="20"/>
          <w:szCs w:val="20"/>
        </w:rPr>
        <w:br/>
      </w:r>
      <w:r w:rsidRPr="00221C72">
        <w:rPr>
          <w:rFonts w:ascii="Verdana" w:hAnsi="Verdana"/>
          <w:b/>
          <w:sz w:val="20"/>
          <w:szCs w:val="20"/>
        </w:rPr>
        <w:t>Pro</w:t>
      </w:r>
      <w:r w:rsidRPr="00221C72">
        <w:rPr>
          <w:rFonts w:ascii="Verdana" w:hAnsi="Verdana"/>
          <w:sz w:val="20"/>
          <w:szCs w:val="20"/>
        </w:rPr>
        <w:t>: Grundlage einer koordinierten Beschäftigungsstrategie in AEUV.</w:t>
      </w:r>
      <w:r w:rsidRPr="00221C72">
        <w:rPr>
          <w:rFonts w:ascii="Verdana" w:hAnsi="Verdana"/>
          <w:sz w:val="20"/>
          <w:szCs w:val="20"/>
        </w:rPr>
        <w:br/>
      </w:r>
      <w:r w:rsidRPr="00221C72">
        <w:rPr>
          <w:rFonts w:ascii="Verdana" w:hAnsi="Verdana"/>
          <w:b/>
          <w:sz w:val="20"/>
          <w:szCs w:val="20"/>
        </w:rPr>
        <w:t>Kontra</w:t>
      </w:r>
      <w:r w:rsidRPr="00221C72">
        <w:rPr>
          <w:rFonts w:ascii="Verdana" w:hAnsi="Verdana"/>
          <w:sz w:val="20"/>
          <w:szCs w:val="20"/>
        </w:rPr>
        <w:t>: Das Subsidiaritätsprinzip weißt Nationalstaaten Gestaltung der Beschäftigungspolitik zu.</w:t>
      </w:r>
    </w:p>
    <w:p w:rsidR="008B42B9" w:rsidRPr="00221C72" w:rsidRDefault="00221C72" w:rsidP="00221C72">
      <w:pPr>
        <w:pStyle w:val="KeinLeerraum"/>
        <w:rPr>
          <w:rFonts w:ascii="Verdana" w:hAnsi="Verdana"/>
          <w:sz w:val="20"/>
          <w:szCs w:val="20"/>
        </w:rPr>
      </w:pPr>
      <w:r>
        <w:rPr>
          <w:rFonts w:ascii="Verdana" w:hAnsi="Verdana"/>
          <w:sz w:val="20"/>
          <w:szCs w:val="20"/>
        </w:rPr>
        <w:br/>
      </w:r>
      <w:r w:rsidR="008B42B9" w:rsidRPr="00221C72">
        <w:rPr>
          <w:rFonts w:ascii="Verdana" w:hAnsi="Verdana"/>
          <w:sz w:val="20"/>
          <w:szCs w:val="20"/>
        </w:rPr>
        <w:t>-</w:t>
      </w:r>
    </w:p>
    <w:p w:rsidR="008B42B9" w:rsidRPr="00221C72" w:rsidRDefault="008B42B9" w:rsidP="00221C72">
      <w:pPr>
        <w:pStyle w:val="KeinLeerraum"/>
        <w:rPr>
          <w:rFonts w:ascii="Verdana" w:hAnsi="Verdana"/>
          <w:sz w:val="20"/>
          <w:szCs w:val="20"/>
        </w:rPr>
      </w:pPr>
      <w:r w:rsidRPr="00221C72">
        <w:rPr>
          <w:rFonts w:ascii="Verdana" w:hAnsi="Verdana"/>
          <w:sz w:val="20"/>
          <w:szCs w:val="20"/>
        </w:rPr>
        <w:lastRenderedPageBreak/>
        <w:br/>
      </w:r>
      <w:r w:rsidRPr="00221C72">
        <w:rPr>
          <w:rFonts w:ascii="Verdana" w:hAnsi="Verdana"/>
          <w:b/>
          <w:sz w:val="20"/>
          <w:szCs w:val="20"/>
        </w:rPr>
        <w:t>Qualifikation</w:t>
      </w:r>
      <w:r w:rsidRPr="00221C72">
        <w:rPr>
          <w:rFonts w:ascii="Verdana" w:hAnsi="Verdana"/>
          <w:sz w:val="20"/>
          <w:szCs w:val="20"/>
        </w:rPr>
        <w:t>: Je höher die Qualifikation des Humankapitals, desto niedriger die Wahrscheinlichkeit, arbeitslos zu sein und desto höher ist der Lohn.</w:t>
      </w:r>
    </w:p>
    <w:p w:rsidR="00F15323" w:rsidRPr="00221C72" w:rsidRDefault="00221C72" w:rsidP="00221C72">
      <w:pPr>
        <w:pStyle w:val="KeinLeerraum"/>
        <w:rPr>
          <w:rFonts w:ascii="Verdana" w:hAnsi="Verdana"/>
          <w:sz w:val="20"/>
          <w:szCs w:val="20"/>
        </w:rPr>
      </w:pPr>
      <w:r>
        <w:rPr>
          <w:rFonts w:ascii="Verdana" w:hAnsi="Verdana"/>
          <w:sz w:val="20"/>
          <w:szCs w:val="20"/>
        </w:rPr>
        <w:br/>
      </w:r>
      <w:r w:rsidR="00F15323" w:rsidRPr="00221C72">
        <w:rPr>
          <w:rFonts w:ascii="Verdana" w:hAnsi="Verdana"/>
          <w:sz w:val="20"/>
          <w:szCs w:val="20"/>
        </w:rPr>
        <w:t>-</w:t>
      </w:r>
    </w:p>
    <w:p w:rsidR="00F15323" w:rsidRPr="00221C72" w:rsidRDefault="00221C72" w:rsidP="00221C72">
      <w:pPr>
        <w:pStyle w:val="KeinLeerraum"/>
        <w:rPr>
          <w:rFonts w:ascii="Verdana" w:hAnsi="Verdana"/>
          <w:sz w:val="20"/>
          <w:szCs w:val="20"/>
        </w:rPr>
      </w:pPr>
      <w:r>
        <w:rPr>
          <w:rFonts w:ascii="Verdana" w:hAnsi="Verdana"/>
          <w:b/>
          <w:sz w:val="20"/>
          <w:szCs w:val="20"/>
        </w:rPr>
        <w:br/>
      </w:r>
      <w:r w:rsidR="00F15323" w:rsidRPr="00221C72">
        <w:rPr>
          <w:rFonts w:ascii="Verdana" w:hAnsi="Verdana"/>
          <w:b/>
          <w:sz w:val="20"/>
          <w:szCs w:val="20"/>
        </w:rPr>
        <w:t>Euphemistische Arbeitslosenzahlen in Deutschland</w:t>
      </w:r>
      <w:r w:rsidR="00F15323" w:rsidRPr="00221C72">
        <w:rPr>
          <w:rFonts w:ascii="Verdana" w:hAnsi="Verdana"/>
          <w:sz w:val="20"/>
          <w:szCs w:val="20"/>
        </w:rPr>
        <w:t xml:space="preserve">: nicht berücksichtigt werden ALG I und ALG II Empfänger, Ein-Euro </w:t>
      </w:r>
      <w:proofErr w:type="spellStart"/>
      <w:r w:rsidR="00F15323" w:rsidRPr="00221C72">
        <w:rPr>
          <w:rFonts w:ascii="Verdana" w:hAnsi="Verdana"/>
          <w:sz w:val="20"/>
          <w:szCs w:val="20"/>
        </w:rPr>
        <w:t>Jober</w:t>
      </w:r>
      <w:proofErr w:type="spellEnd"/>
      <w:r w:rsidR="00F15323" w:rsidRPr="00221C72">
        <w:rPr>
          <w:rFonts w:ascii="Verdana" w:hAnsi="Verdana"/>
          <w:sz w:val="20"/>
          <w:szCs w:val="20"/>
        </w:rPr>
        <w:t>, kranke Arbeitslose, usw.</w:t>
      </w:r>
    </w:p>
    <w:p w:rsidR="00F15323" w:rsidRPr="00221C72" w:rsidRDefault="00221C72" w:rsidP="00221C72">
      <w:pPr>
        <w:pStyle w:val="KeinLeerraum"/>
        <w:rPr>
          <w:rFonts w:ascii="Verdana" w:hAnsi="Verdana"/>
          <w:sz w:val="20"/>
          <w:szCs w:val="20"/>
        </w:rPr>
      </w:pPr>
      <w:r>
        <w:rPr>
          <w:rFonts w:ascii="Verdana" w:hAnsi="Verdana"/>
          <w:sz w:val="20"/>
          <w:szCs w:val="20"/>
        </w:rPr>
        <w:br/>
      </w:r>
      <w:r w:rsidR="00F15323" w:rsidRPr="00221C72">
        <w:rPr>
          <w:rFonts w:ascii="Verdana" w:hAnsi="Verdana"/>
          <w:sz w:val="20"/>
          <w:szCs w:val="20"/>
        </w:rPr>
        <w:t>-</w:t>
      </w:r>
    </w:p>
    <w:p w:rsidR="00F15323" w:rsidRPr="00221C72" w:rsidRDefault="00221C72" w:rsidP="00221C72">
      <w:pPr>
        <w:pStyle w:val="KeinLeerraum"/>
        <w:rPr>
          <w:rFonts w:ascii="Verdana" w:hAnsi="Verdana"/>
          <w:sz w:val="20"/>
          <w:szCs w:val="20"/>
        </w:rPr>
      </w:pPr>
      <w:r>
        <w:rPr>
          <w:rFonts w:ascii="Verdana" w:hAnsi="Verdana"/>
          <w:b/>
          <w:sz w:val="20"/>
          <w:szCs w:val="20"/>
        </w:rPr>
        <w:br/>
      </w:r>
      <w:proofErr w:type="spellStart"/>
      <w:r w:rsidR="00F15323" w:rsidRPr="00221C72">
        <w:rPr>
          <w:rFonts w:ascii="Verdana" w:hAnsi="Verdana"/>
          <w:b/>
          <w:sz w:val="20"/>
          <w:szCs w:val="20"/>
        </w:rPr>
        <w:t>Roundtable</w:t>
      </w:r>
      <w:proofErr w:type="spellEnd"/>
      <w:r w:rsidR="00F15323" w:rsidRPr="00221C72">
        <w:rPr>
          <w:rFonts w:ascii="Verdana" w:hAnsi="Verdana"/>
          <w:b/>
          <w:sz w:val="20"/>
          <w:szCs w:val="20"/>
        </w:rPr>
        <w:t xml:space="preserve"> </w:t>
      </w:r>
      <w:proofErr w:type="spellStart"/>
      <w:r w:rsidR="00F15323" w:rsidRPr="00221C72">
        <w:rPr>
          <w:rFonts w:ascii="Verdana" w:hAnsi="Verdana"/>
          <w:b/>
          <w:sz w:val="20"/>
          <w:szCs w:val="20"/>
        </w:rPr>
        <w:t>of</w:t>
      </w:r>
      <w:proofErr w:type="spellEnd"/>
      <w:r w:rsidR="00F15323" w:rsidRPr="00221C72">
        <w:rPr>
          <w:rFonts w:ascii="Verdana" w:hAnsi="Verdana"/>
          <w:b/>
          <w:sz w:val="20"/>
          <w:szCs w:val="20"/>
        </w:rPr>
        <w:t xml:space="preserve"> European </w:t>
      </w:r>
      <w:proofErr w:type="spellStart"/>
      <w:r w:rsidR="00F15323" w:rsidRPr="00221C72">
        <w:rPr>
          <w:rFonts w:ascii="Verdana" w:hAnsi="Verdana"/>
          <w:b/>
          <w:sz w:val="20"/>
          <w:szCs w:val="20"/>
        </w:rPr>
        <w:t>Industrialists</w:t>
      </w:r>
      <w:proofErr w:type="spellEnd"/>
      <w:r w:rsidR="00F15323" w:rsidRPr="00221C72">
        <w:rPr>
          <w:rFonts w:ascii="Verdana" w:hAnsi="Verdana"/>
          <w:sz w:val="20"/>
          <w:szCs w:val="20"/>
        </w:rPr>
        <w:t xml:space="preserve">: einflussreicher </w:t>
      </w:r>
      <w:proofErr w:type="spellStart"/>
      <w:r w:rsidR="00F15323" w:rsidRPr="00221C72">
        <w:rPr>
          <w:rFonts w:ascii="Verdana" w:hAnsi="Verdana"/>
          <w:sz w:val="20"/>
          <w:szCs w:val="20"/>
        </w:rPr>
        <w:t>Lobbyistenverbund</w:t>
      </w:r>
      <w:proofErr w:type="spellEnd"/>
      <w:r w:rsidR="00F15323" w:rsidRPr="00221C72">
        <w:rPr>
          <w:rFonts w:ascii="Verdana" w:hAnsi="Verdana"/>
          <w:sz w:val="20"/>
          <w:szCs w:val="20"/>
        </w:rPr>
        <w:t xml:space="preserve"> der europäischen Großindustrie. Der ERT versucht durch direktes Lobbying, das </w:t>
      </w:r>
      <w:proofErr w:type="spellStart"/>
      <w:r w:rsidR="00F15323" w:rsidRPr="00221C72">
        <w:rPr>
          <w:rFonts w:ascii="Verdana" w:hAnsi="Verdana"/>
          <w:sz w:val="20"/>
          <w:szCs w:val="20"/>
        </w:rPr>
        <w:t>agenda</w:t>
      </w:r>
      <w:proofErr w:type="spellEnd"/>
      <w:r w:rsidR="00F15323" w:rsidRPr="00221C72">
        <w:rPr>
          <w:rFonts w:ascii="Verdana" w:hAnsi="Verdana"/>
          <w:sz w:val="20"/>
          <w:szCs w:val="20"/>
        </w:rPr>
        <w:t xml:space="preserve"> </w:t>
      </w:r>
      <w:proofErr w:type="spellStart"/>
      <w:r w:rsidR="00F15323" w:rsidRPr="00221C72">
        <w:rPr>
          <w:rFonts w:ascii="Verdana" w:hAnsi="Verdana"/>
          <w:sz w:val="20"/>
          <w:szCs w:val="20"/>
        </w:rPr>
        <w:t>setting</w:t>
      </w:r>
      <w:proofErr w:type="spellEnd"/>
      <w:r w:rsidR="00F15323" w:rsidRPr="00221C72">
        <w:rPr>
          <w:rFonts w:ascii="Verdana" w:hAnsi="Verdana"/>
          <w:sz w:val="20"/>
          <w:szCs w:val="20"/>
        </w:rPr>
        <w:t xml:space="preserve"> der europäischen Organe zu beeinflussen und die Wettbewerbsfähigkeit der EU-Staaten zu verbessern.</w:t>
      </w:r>
    </w:p>
    <w:p w:rsidR="003D7640" w:rsidRPr="00221C72" w:rsidRDefault="00221C72">
      <w:pPr>
        <w:pStyle w:val="KeinLeerraum"/>
        <w:rPr>
          <w:rFonts w:ascii="Verdana" w:hAnsi="Verdana"/>
          <w:i/>
          <w:sz w:val="20"/>
          <w:szCs w:val="20"/>
        </w:rPr>
      </w:pPr>
      <w:r>
        <w:rPr>
          <w:rFonts w:ascii="Verdana" w:hAnsi="Verdana"/>
          <w:sz w:val="20"/>
          <w:szCs w:val="20"/>
        </w:rPr>
        <w:br/>
      </w:r>
      <w:r w:rsidR="00F15323" w:rsidRPr="00221C72">
        <w:rPr>
          <w:rFonts w:ascii="Verdana" w:hAnsi="Verdana"/>
          <w:sz w:val="20"/>
          <w:szCs w:val="20"/>
        </w:rPr>
        <w:t xml:space="preserve">Im Kontext der europäischen Beschäftigungspolitik werden der Einfluss und die tatsächliche Relevanz des Benchmark-Konzepts deutlich. Als </w:t>
      </w:r>
      <w:r w:rsidR="00F15323" w:rsidRPr="00C02F00">
        <w:rPr>
          <w:rFonts w:ascii="Verdana" w:hAnsi="Verdana"/>
          <w:b/>
          <w:sz w:val="20"/>
          <w:szCs w:val="20"/>
        </w:rPr>
        <w:t>Fazit</w:t>
      </w:r>
      <w:r w:rsidR="00F15323" w:rsidRPr="00221C72">
        <w:rPr>
          <w:rFonts w:ascii="Verdana" w:hAnsi="Verdana"/>
          <w:sz w:val="20"/>
          <w:szCs w:val="20"/>
        </w:rPr>
        <w:t xml:space="preserve"> kann gezogen werden, </w:t>
      </w:r>
      <w:r w:rsidR="00F15323" w:rsidRPr="00221C72">
        <w:rPr>
          <w:rFonts w:ascii="Verdana" w:hAnsi="Verdana"/>
          <w:i/>
          <w:sz w:val="20"/>
          <w:szCs w:val="20"/>
        </w:rPr>
        <w:t>„</w:t>
      </w:r>
      <w:proofErr w:type="spellStart"/>
      <w:r w:rsidR="00F15323" w:rsidRPr="00221C72">
        <w:rPr>
          <w:rFonts w:ascii="Verdana" w:hAnsi="Verdana"/>
          <w:i/>
          <w:sz w:val="20"/>
          <w:szCs w:val="20"/>
        </w:rPr>
        <w:t>daß</w:t>
      </w:r>
      <w:proofErr w:type="spellEnd"/>
      <w:r w:rsidR="00F15323" w:rsidRPr="00221C72">
        <w:rPr>
          <w:rFonts w:ascii="Verdana" w:hAnsi="Verdana"/>
          <w:i/>
          <w:sz w:val="20"/>
          <w:szCs w:val="20"/>
        </w:rPr>
        <w:t xml:space="preserve"> die an der Nachfrageseite orientierten Arbeitsmarktpolitiken durch unverbindliche europäische Richtlinien und Vorschläge ersetzt werden sollen, die aus </w:t>
      </w:r>
      <w:proofErr w:type="spellStart"/>
      <w:r w:rsidR="00F15323" w:rsidRPr="00221C72">
        <w:rPr>
          <w:rFonts w:ascii="Verdana" w:hAnsi="Verdana"/>
          <w:i/>
          <w:sz w:val="20"/>
          <w:szCs w:val="20"/>
        </w:rPr>
        <w:t>best</w:t>
      </w:r>
      <w:proofErr w:type="spellEnd"/>
      <w:r w:rsidR="00F15323" w:rsidRPr="00221C72">
        <w:rPr>
          <w:rFonts w:ascii="Verdana" w:hAnsi="Verdana"/>
          <w:i/>
          <w:sz w:val="20"/>
          <w:szCs w:val="20"/>
        </w:rPr>
        <w:t xml:space="preserve"> </w:t>
      </w:r>
      <w:proofErr w:type="spellStart"/>
      <w:r w:rsidR="00F15323" w:rsidRPr="00221C72">
        <w:rPr>
          <w:rFonts w:ascii="Verdana" w:hAnsi="Verdana"/>
          <w:i/>
          <w:sz w:val="20"/>
          <w:szCs w:val="20"/>
        </w:rPr>
        <w:t>practice</w:t>
      </w:r>
      <w:proofErr w:type="spellEnd"/>
      <w:r w:rsidR="00F15323" w:rsidRPr="00221C72">
        <w:rPr>
          <w:rFonts w:ascii="Verdana" w:hAnsi="Verdana"/>
          <w:i/>
          <w:sz w:val="20"/>
          <w:szCs w:val="20"/>
        </w:rPr>
        <w:t>-Vergleichen destilliert werden.</w:t>
      </w:r>
      <w:r w:rsidR="00647770" w:rsidRPr="00221C72">
        <w:rPr>
          <w:rFonts w:ascii="Verdana" w:hAnsi="Verdana"/>
          <w:i/>
          <w:sz w:val="20"/>
          <w:szCs w:val="20"/>
        </w:rPr>
        <w:t>“</w:t>
      </w:r>
    </w:p>
    <w:sectPr w:rsidR="003D7640" w:rsidRPr="00221C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3A84"/>
    <w:multiLevelType w:val="hybridMultilevel"/>
    <w:tmpl w:val="AF54D214"/>
    <w:lvl w:ilvl="0" w:tplc="3EC80CCE">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8F6603"/>
    <w:multiLevelType w:val="multilevel"/>
    <w:tmpl w:val="A220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917D5"/>
    <w:multiLevelType w:val="hybridMultilevel"/>
    <w:tmpl w:val="AA7CD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3B5340"/>
    <w:multiLevelType w:val="hybridMultilevel"/>
    <w:tmpl w:val="2EAAAFFA"/>
    <w:lvl w:ilvl="0" w:tplc="99500D4A">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BC2FB0"/>
    <w:multiLevelType w:val="singleLevel"/>
    <w:tmpl w:val="41C45844"/>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40"/>
    <w:rsid w:val="00077086"/>
    <w:rsid w:val="00221C72"/>
    <w:rsid w:val="002C7DC7"/>
    <w:rsid w:val="002E34A2"/>
    <w:rsid w:val="003256B5"/>
    <w:rsid w:val="003D7640"/>
    <w:rsid w:val="004C039A"/>
    <w:rsid w:val="004F3383"/>
    <w:rsid w:val="005545B0"/>
    <w:rsid w:val="00643C52"/>
    <w:rsid w:val="00647770"/>
    <w:rsid w:val="007014D2"/>
    <w:rsid w:val="0072078B"/>
    <w:rsid w:val="007F0406"/>
    <w:rsid w:val="008B42B9"/>
    <w:rsid w:val="00907D2F"/>
    <w:rsid w:val="00A835D5"/>
    <w:rsid w:val="00A93B29"/>
    <w:rsid w:val="00A96C5A"/>
    <w:rsid w:val="00AD0340"/>
    <w:rsid w:val="00B25240"/>
    <w:rsid w:val="00B74AF5"/>
    <w:rsid w:val="00C02F00"/>
    <w:rsid w:val="00D64393"/>
    <w:rsid w:val="00D7614B"/>
    <w:rsid w:val="00E40585"/>
    <w:rsid w:val="00F15323"/>
    <w:rsid w:val="00F17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E9481-45FD-486C-8727-D5D38C89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C7DC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DE"/>
    </w:rPr>
  </w:style>
  <w:style w:type="paragraph" w:styleId="berschrift3">
    <w:name w:val="heading 3"/>
    <w:basedOn w:val="Standard"/>
    <w:next w:val="Standard"/>
    <w:link w:val="berschrift3Zchn"/>
    <w:uiPriority w:val="9"/>
    <w:semiHidden/>
    <w:unhideWhenUsed/>
    <w:qFormat/>
    <w:rsid w:val="003D7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7DC7"/>
    <w:rPr>
      <w:rFonts w:asciiTheme="majorHAnsi" w:eastAsiaTheme="majorEastAsia" w:hAnsiTheme="majorHAnsi" w:cstheme="majorBidi"/>
      <w:color w:val="2E74B5" w:themeColor="accent1" w:themeShade="BF"/>
      <w:sz w:val="32"/>
      <w:szCs w:val="32"/>
      <w:lang w:eastAsia="de-DE"/>
    </w:rPr>
  </w:style>
  <w:style w:type="paragraph" w:styleId="KeinLeerraum">
    <w:name w:val="No Spacing"/>
    <w:uiPriority w:val="1"/>
    <w:qFormat/>
    <w:rsid w:val="00B25240"/>
    <w:pPr>
      <w:spacing w:after="0" w:line="240" w:lineRule="auto"/>
    </w:pPr>
  </w:style>
  <w:style w:type="paragraph" w:styleId="StandardWeb">
    <w:name w:val="Normal (Web)"/>
    <w:basedOn w:val="Standard"/>
    <w:uiPriority w:val="99"/>
    <w:semiHidden/>
    <w:unhideWhenUsed/>
    <w:rsid w:val="00F17D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17D35"/>
    <w:rPr>
      <w:color w:val="0000FF"/>
      <w:u w:val="single"/>
    </w:rPr>
  </w:style>
  <w:style w:type="character" w:customStyle="1" w:styleId="berschrift3Zchn">
    <w:name w:val="Überschrift 3 Zchn"/>
    <w:basedOn w:val="Absatz-Standardschriftart"/>
    <w:link w:val="berschrift3"/>
    <w:uiPriority w:val="9"/>
    <w:semiHidden/>
    <w:rsid w:val="003D7640"/>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F15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2351">
      <w:bodyDiv w:val="1"/>
      <w:marLeft w:val="0"/>
      <w:marRight w:val="0"/>
      <w:marTop w:val="0"/>
      <w:marBottom w:val="0"/>
      <w:divBdr>
        <w:top w:val="none" w:sz="0" w:space="0" w:color="auto"/>
        <w:left w:val="none" w:sz="0" w:space="0" w:color="auto"/>
        <w:bottom w:val="none" w:sz="0" w:space="0" w:color="auto"/>
        <w:right w:val="none" w:sz="0" w:space="0" w:color="auto"/>
      </w:divBdr>
      <w:divsChild>
        <w:div w:id="1458792380">
          <w:marLeft w:val="0"/>
          <w:marRight w:val="0"/>
          <w:marTop w:val="0"/>
          <w:marBottom w:val="0"/>
          <w:divBdr>
            <w:top w:val="none" w:sz="0" w:space="0" w:color="auto"/>
            <w:left w:val="none" w:sz="0" w:space="0" w:color="auto"/>
            <w:bottom w:val="none" w:sz="0" w:space="0" w:color="auto"/>
            <w:right w:val="none" w:sz="0" w:space="0" w:color="auto"/>
          </w:divBdr>
        </w:div>
        <w:div w:id="1138064412">
          <w:marLeft w:val="0"/>
          <w:marRight w:val="0"/>
          <w:marTop w:val="0"/>
          <w:marBottom w:val="0"/>
          <w:divBdr>
            <w:top w:val="none" w:sz="0" w:space="0" w:color="auto"/>
            <w:left w:val="none" w:sz="0" w:space="0" w:color="auto"/>
            <w:bottom w:val="none" w:sz="0" w:space="0" w:color="auto"/>
            <w:right w:val="none" w:sz="0" w:space="0" w:color="auto"/>
          </w:divBdr>
        </w:div>
        <w:div w:id="1852378653">
          <w:marLeft w:val="0"/>
          <w:marRight w:val="0"/>
          <w:marTop w:val="0"/>
          <w:marBottom w:val="0"/>
          <w:divBdr>
            <w:top w:val="none" w:sz="0" w:space="0" w:color="auto"/>
            <w:left w:val="none" w:sz="0" w:space="0" w:color="auto"/>
            <w:bottom w:val="none" w:sz="0" w:space="0" w:color="auto"/>
            <w:right w:val="none" w:sz="0" w:space="0" w:color="auto"/>
          </w:divBdr>
        </w:div>
        <w:div w:id="1998803757">
          <w:marLeft w:val="0"/>
          <w:marRight w:val="0"/>
          <w:marTop w:val="0"/>
          <w:marBottom w:val="0"/>
          <w:divBdr>
            <w:top w:val="none" w:sz="0" w:space="0" w:color="auto"/>
            <w:left w:val="none" w:sz="0" w:space="0" w:color="auto"/>
            <w:bottom w:val="none" w:sz="0" w:space="0" w:color="auto"/>
            <w:right w:val="none" w:sz="0" w:space="0" w:color="auto"/>
          </w:divBdr>
        </w:div>
        <w:div w:id="1948734244">
          <w:marLeft w:val="0"/>
          <w:marRight w:val="0"/>
          <w:marTop w:val="0"/>
          <w:marBottom w:val="0"/>
          <w:divBdr>
            <w:top w:val="none" w:sz="0" w:space="0" w:color="auto"/>
            <w:left w:val="none" w:sz="0" w:space="0" w:color="auto"/>
            <w:bottom w:val="none" w:sz="0" w:space="0" w:color="auto"/>
            <w:right w:val="none" w:sz="0" w:space="0" w:color="auto"/>
          </w:divBdr>
        </w:div>
        <w:div w:id="921723016">
          <w:marLeft w:val="0"/>
          <w:marRight w:val="0"/>
          <w:marTop w:val="0"/>
          <w:marBottom w:val="0"/>
          <w:divBdr>
            <w:top w:val="none" w:sz="0" w:space="0" w:color="auto"/>
            <w:left w:val="none" w:sz="0" w:space="0" w:color="auto"/>
            <w:bottom w:val="none" w:sz="0" w:space="0" w:color="auto"/>
            <w:right w:val="none" w:sz="0" w:space="0" w:color="auto"/>
          </w:divBdr>
        </w:div>
        <w:div w:id="1768037573">
          <w:marLeft w:val="0"/>
          <w:marRight w:val="0"/>
          <w:marTop w:val="0"/>
          <w:marBottom w:val="0"/>
          <w:divBdr>
            <w:top w:val="none" w:sz="0" w:space="0" w:color="auto"/>
            <w:left w:val="none" w:sz="0" w:space="0" w:color="auto"/>
            <w:bottom w:val="none" w:sz="0" w:space="0" w:color="auto"/>
            <w:right w:val="none" w:sz="0" w:space="0" w:color="auto"/>
          </w:divBdr>
        </w:div>
        <w:div w:id="1294747530">
          <w:marLeft w:val="0"/>
          <w:marRight w:val="0"/>
          <w:marTop w:val="0"/>
          <w:marBottom w:val="0"/>
          <w:divBdr>
            <w:top w:val="none" w:sz="0" w:space="0" w:color="auto"/>
            <w:left w:val="none" w:sz="0" w:space="0" w:color="auto"/>
            <w:bottom w:val="none" w:sz="0" w:space="0" w:color="auto"/>
            <w:right w:val="none" w:sz="0" w:space="0" w:color="auto"/>
          </w:divBdr>
        </w:div>
        <w:div w:id="199706226">
          <w:marLeft w:val="0"/>
          <w:marRight w:val="0"/>
          <w:marTop w:val="0"/>
          <w:marBottom w:val="0"/>
          <w:divBdr>
            <w:top w:val="none" w:sz="0" w:space="0" w:color="auto"/>
            <w:left w:val="none" w:sz="0" w:space="0" w:color="auto"/>
            <w:bottom w:val="none" w:sz="0" w:space="0" w:color="auto"/>
            <w:right w:val="none" w:sz="0" w:space="0" w:color="auto"/>
          </w:divBdr>
        </w:div>
        <w:div w:id="718087333">
          <w:marLeft w:val="0"/>
          <w:marRight w:val="0"/>
          <w:marTop w:val="0"/>
          <w:marBottom w:val="0"/>
          <w:divBdr>
            <w:top w:val="none" w:sz="0" w:space="0" w:color="auto"/>
            <w:left w:val="none" w:sz="0" w:space="0" w:color="auto"/>
            <w:bottom w:val="none" w:sz="0" w:space="0" w:color="auto"/>
            <w:right w:val="none" w:sz="0" w:space="0" w:color="auto"/>
          </w:divBdr>
        </w:div>
        <w:div w:id="1915432986">
          <w:marLeft w:val="0"/>
          <w:marRight w:val="0"/>
          <w:marTop w:val="0"/>
          <w:marBottom w:val="0"/>
          <w:divBdr>
            <w:top w:val="none" w:sz="0" w:space="0" w:color="auto"/>
            <w:left w:val="none" w:sz="0" w:space="0" w:color="auto"/>
            <w:bottom w:val="none" w:sz="0" w:space="0" w:color="auto"/>
            <w:right w:val="none" w:sz="0" w:space="0" w:color="auto"/>
          </w:divBdr>
        </w:div>
      </w:divsChild>
    </w:div>
    <w:div w:id="20286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10338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14</cp:revision>
  <dcterms:created xsi:type="dcterms:W3CDTF">2018-07-14T17:15:00Z</dcterms:created>
  <dcterms:modified xsi:type="dcterms:W3CDTF">2018-07-21T14:18:00Z</dcterms:modified>
</cp:coreProperties>
</file>