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6F" w:rsidRPr="00F81E6F" w:rsidRDefault="00F81E6F" w:rsidP="00F81E6F">
      <w:pPr>
        <w:spacing w:after="0" w:line="525" w:lineRule="atLeast"/>
        <w:outlineLvl w:val="0"/>
        <w:rPr>
          <w:rFonts w:ascii="Helvetica" w:eastAsia="Times New Roman" w:hAnsi="Helvetica" w:cs="Helvetica"/>
          <w:b/>
          <w:bCs/>
          <w:color w:val="666666"/>
          <w:kern w:val="36"/>
          <w:sz w:val="38"/>
          <w:szCs w:val="38"/>
          <w:lang w:eastAsia="de-DE"/>
        </w:rPr>
      </w:pPr>
      <w:proofErr w:type="spellStart"/>
      <w:r w:rsidRPr="00F81E6F">
        <w:rPr>
          <w:rFonts w:ascii="Helvetica" w:eastAsia="Times New Roman" w:hAnsi="Helvetica" w:cs="Helvetica"/>
          <w:b/>
          <w:bCs/>
          <w:color w:val="666666"/>
          <w:kern w:val="36"/>
          <w:sz w:val="38"/>
          <w:szCs w:val="38"/>
          <w:lang w:eastAsia="de-DE"/>
        </w:rPr>
        <w:t>Argumentum</w:t>
      </w:r>
      <w:proofErr w:type="spellEnd"/>
      <w:r w:rsidRPr="00F81E6F">
        <w:rPr>
          <w:rFonts w:ascii="Helvetica" w:eastAsia="Times New Roman" w:hAnsi="Helvetica" w:cs="Helvetica"/>
          <w:b/>
          <w:bCs/>
          <w:color w:val="666666"/>
          <w:kern w:val="36"/>
          <w:sz w:val="38"/>
          <w:szCs w:val="38"/>
          <w:lang w:eastAsia="de-DE"/>
        </w:rPr>
        <w:t xml:space="preserve"> ad </w:t>
      </w:r>
      <w:proofErr w:type="spellStart"/>
      <w:r w:rsidRPr="00F81E6F">
        <w:rPr>
          <w:rFonts w:ascii="Helvetica" w:eastAsia="Times New Roman" w:hAnsi="Helvetica" w:cs="Helvetica"/>
          <w:b/>
          <w:bCs/>
          <w:color w:val="666666"/>
          <w:kern w:val="36"/>
          <w:sz w:val="38"/>
          <w:szCs w:val="38"/>
          <w:lang w:eastAsia="de-DE"/>
        </w:rPr>
        <w:t>populum</w:t>
      </w:r>
      <w:proofErr w:type="spellEnd"/>
    </w:p>
    <w:p w:rsidR="00F81E6F" w:rsidRDefault="00F81E6F" w:rsidP="00F81E6F">
      <w:pPr>
        <w:spacing w:after="0" w:line="240" w:lineRule="auto"/>
        <w:rPr>
          <w:rFonts w:ascii="Verdana" w:eastAsia="Times New Roman" w:hAnsi="Verdana" w:cs="Arial"/>
          <w:color w:val="000000"/>
          <w:sz w:val="23"/>
          <w:szCs w:val="23"/>
          <w:lang w:eastAsia="de-DE"/>
        </w:rPr>
      </w:pPr>
      <w:r w:rsidRPr="00F81E6F">
        <w:rPr>
          <w:rFonts w:ascii="Verdana" w:eastAsia="Times New Roman" w:hAnsi="Verdana" w:cs="Arial"/>
          <w:color w:val="000000"/>
          <w:sz w:val="23"/>
          <w:szCs w:val="23"/>
          <w:lang w:eastAsia="de-DE"/>
        </w:rPr>
        <w:t>Erfahrungsgemäß findet man ja zu einem komplizierten Thema viel mehr Menschen mit einer Meinung, als mit einer Ahnung.</w:t>
      </w:r>
    </w:p>
    <w:p w:rsidR="00E961C6" w:rsidRPr="00F81E6F" w:rsidRDefault="00E961C6" w:rsidP="00F81E6F">
      <w:pPr>
        <w:spacing w:after="0" w:line="240" w:lineRule="auto"/>
        <w:rPr>
          <w:rFonts w:ascii="Arial" w:eastAsia="Times New Roman" w:hAnsi="Arial" w:cs="Arial"/>
          <w:color w:val="666666"/>
          <w:sz w:val="18"/>
          <w:szCs w:val="18"/>
          <w:lang w:eastAsia="de-DE"/>
        </w:rPr>
      </w:pPr>
    </w:p>
    <w:p w:rsidR="00F81E6F" w:rsidRPr="00F81E6F" w:rsidRDefault="00F81E6F" w:rsidP="00F81E6F">
      <w:pPr>
        <w:spacing w:after="0" w:line="240" w:lineRule="auto"/>
        <w:rPr>
          <w:rFonts w:ascii="Arial" w:eastAsia="Times New Roman" w:hAnsi="Arial" w:cs="Arial"/>
          <w:color w:val="666666"/>
          <w:sz w:val="18"/>
          <w:szCs w:val="18"/>
          <w:lang w:eastAsia="de-DE"/>
        </w:rPr>
      </w:pPr>
      <w:r w:rsidRPr="00F81E6F">
        <w:rPr>
          <w:rFonts w:ascii="Verdana" w:eastAsia="Times New Roman" w:hAnsi="Verdana" w:cs="Arial"/>
          <w:color w:val="000000"/>
          <w:sz w:val="23"/>
          <w:szCs w:val="23"/>
          <w:lang w:eastAsia="de-DE"/>
        </w:rPr>
        <w:t>Wir alle kennen dies in leicht abgewandelter Form aus dem Alltag: Man hat eine Person lange nicht mehr gesehen oder wird sie nach langer Zeit mal wieder sehen, und macht sich eine Vorstellung davon, was sie gerade macht oder wie sie sich in der Zwischenzeit entwickelt hat, obwohl man eigentlich genau weiß, dass man das nicht weiß. Aber irgendwie will man ungern mit diesem Unwissen leben und so gibt man sich der illusorischen Sicherheit der vermeintlichen Aufgeklärtheit hin.</w:t>
      </w:r>
    </w:p>
    <w:p w:rsidR="00E961C6" w:rsidRDefault="00E961C6" w:rsidP="00F81E6F">
      <w:pPr>
        <w:spacing w:after="0" w:line="240" w:lineRule="auto"/>
        <w:rPr>
          <w:rFonts w:ascii="Verdana" w:eastAsia="Times New Roman" w:hAnsi="Verdana" w:cs="Arial"/>
          <w:color w:val="000000"/>
          <w:sz w:val="23"/>
          <w:szCs w:val="23"/>
          <w:lang w:eastAsia="de-DE"/>
        </w:rPr>
      </w:pPr>
    </w:p>
    <w:p w:rsidR="00F81E6F" w:rsidRDefault="00F81E6F" w:rsidP="00F81E6F">
      <w:pPr>
        <w:spacing w:after="0" w:line="240" w:lineRule="auto"/>
        <w:rPr>
          <w:rFonts w:ascii="Verdana" w:eastAsia="Times New Roman" w:hAnsi="Verdana" w:cs="Arial"/>
          <w:color w:val="000000"/>
          <w:sz w:val="23"/>
          <w:szCs w:val="23"/>
          <w:lang w:eastAsia="de-DE"/>
        </w:rPr>
      </w:pPr>
      <w:r w:rsidRPr="00F81E6F">
        <w:rPr>
          <w:rFonts w:ascii="Verdana" w:eastAsia="Times New Roman" w:hAnsi="Verdana" w:cs="Arial"/>
          <w:color w:val="000000"/>
          <w:sz w:val="23"/>
          <w:szCs w:val="23"/>
          <w:lang w:eastAsia="de-DE"/>
        </w:rPr>
        <w:t>Irrationale Überzeugungen begegnen einem aber leider auch bei öffentlichen Themen, und das zuhauf. Dann werden eine undifferenzierte</w:t>
      </w:r>
      <w:r w:rsidRPr="00F81E6F">
        <w:rPr>
          <w:rFonts w:ascii="Verdana" w:eastAsia="Times New Roman" w:hAnsi="Verdana" w:cs="Arial"/>
          <w:color w:val="666666"/>
          <w:sz w:val="23"/>
          <w:szCs w:val="23"/>
          <w:lang w:eastAsia="de-DE"/>
        </w:rPr>
        <w:t> </w:t>
      </w:r>
      <w:r w:rsidRPr="00F81E6F">
        <w:rPr>
          <w:rFonts w:ascii="Verdana" w:eastAsia="Times New Roman" w:hAnsi="Verdana" w:cs="Arial"/>
          <w:color w:val="FFC000"/>
          <w:sz w:val="23"/>
          <w:szCs w:val="23"/>
          <w:lang w:eastAsia="de-DE"/>
        </w:rPr>
        <w:t>Gentechnikphobie</w:t>
      </w:r>
      <w:r w:rsidRPr="00F81E6F">
        <w:rPr>
          <w:rFonts w:ascii="Verdana" w:eastAsia="Times New Roman" w:hAnsi="Verdana" w:cs="Arial"/>
          <w:color w:val="666666"/>
          <w:sz w:val="23"/>
          <w:szCs w:val="23"/>
          <w:lang w:eastAsia="de-DE"/>
        </w:rPr>
        <w:t> </w:t>
      </w:r>
      <w:r w:rsidRPr="00F81E6F">
        <w:rPr>
          <w:rFonts w:ascii="Verdana" w:eastAsia="Times New Roman" w:hAnsi="Verdana" w:cs="Arial"/>
          <w:color w:val="000000"/>
          <w:sz w:val="23"/>
          <w:szCs w:val="23"/>
          <w:lang w:eastAsia="de-DE"/>
        </w:rPr>
        <w:t>oder die</w:t>
      </w:r>
      <w:r w:rsidRPr="00F81E6F">
        <w:rPr>
          <w:rFonts w:ascii="Verdana" w:eastAsia="Times New Roman" w:hAnsi="Verdana" w:cs="Arial"/>
          <w:color w:val="666666"/>
          <w:sz w:val="23"/>
          <w:szCs w:val="23"/>
          <w:lang w:eastAsia="de-DE"/>
        </w:rPr>
        <w:t> </w:t>
      </w:r>
      <w:hyperlink r:id="rId5" w:tooltip="Homöopathie" w:history="1">
        <w:r w:rsidRPr="00F81E6F">
          <w:rPr>
            <w:rFonts w:ascii="Verdana" w:eastAsia="Times New Roman" w:hAnsi="Verdana" w:cs="Arial"/>
            <w:color w:val="FFC000"/>
            <w:sz w:val="23"/>
            <w:szCs w:val="23"/>
            <w:u w:val="single"/>
            <w:lang w:eastAsia="de-DE"/>
          </w:rPr>
          <w:t xml:space="preserve">homöopathische </w:t>
        </w:r>
        <w:proofErr w:type="spellStart"/>
        <w:r w:rsidRPr="00F81E6F">
          <w:rPr>
            <w:rFonts w:ascii="Verdana" w:eastAsia="Times New Roman" w:hAnsi="Verdana" w:cs="Arial"/>
            <w:color w:val="FFC000"/>
            <w:sz w:val="23"/>
            <w:szCs w:val="23"/>
            <w:u w:val="single"/>
            <w:lang w:eastAsia="de-DE"/>
          </w:rPr>
          <w:t>Methode</w:t>
        </w:r>
      </w:hyperlink>
      <w:r w:rsidRPr="00F81E6F">
        <w:rPr>
          <w:rFonts w:ascii="Verdana" w:eastAsia="Times New Roman" w:hAnsi="Verdana" w:cs="Arial"/>
          <w:color w:val="000000"/>
          <w:sz w:val="23"/>
          <w:szCs w:val="23"/>
          <w:lang w:eastAsia="de-DE"/>
        </w:rPr>
        <w:t>mit</w:t>
      </w:r>
      <w:proofErr w:type="spellEnd"/>
      <w:r w:rsidRPr="00F81E6F">
        <w:rPr>
          <w:rFonts w:ascii="Verdana" w:eastAsia="Times New Roman" w:hAnsi="Verdana" w:cs="Arial"/>
          <w:color w:val="666666"/>
          <w:sz w:val="23"/>
          <w:szCs w:val="23"/>
          <w:lang w:eastAsia="de-DE"/>
        </w:rPr>
        <w:t> </w:t>
      </w:r>
      <w:hyperlink r:id="rId6" w:tooltip="Argumentationsfehler" w:history="1">
        <w:r w:rsidRPr="00F81E6F">
          <w:rPr>
            <w:rFonts w:ascii="Verdana" w:eastAsia="Times New Roman" w:hAnsi="Verdana" w:cs="Arial"/>
            <w:color w:val="FFC000"/>
            <w:sz w:val="23"/>
            <w:szCs w:val="23"/>
            <w:u w:val="single"/>
            <w:lang w:eastAsia="de-DE"/>
          </w:rPr>
          <w:t>unzulässigen Argumentationsfiguren</w:t>
        </w:r>
      </w:hyperlink>
      <w:r w:rsidRPr="00F81E6F">
        <w:rPr>
          <w:rFonts w:ascii="Verdana" w:eastAsia="Times New Roman" w:hAnsi="Verdana" w:cs="Arial"/>
          <w:color w:val="666666"/>
          <w:sz w:val="23"/>
          <w:szCs w:val="23"/>
          <w:lang w:eastAsia="de-DE"/>
        </w:rPr>
        <w:t> </w:t>
      </w:r>
      <w:r w:rsidRPr="00F81E6F">
        <w:rPr>
          <w:rFonts w:ascii="Verdana" w:eastAsia="Times New Roman" w:hAnsi="Verdana" w:cs="Arial"/>
          <w:color w:val="000000"/>
          <w:sz w:val="23"/>
          <w:szCs w:val="23"/>
          <w:lang w:eastAsia="de-DE"/>
        </w:rPr>
        <w:t>scheinkonsolidiert. Oft wird dabei auf das </w:t>
      </w:r>
      <w:r w:rsidRPr="00F81E6F">
        <w:rPr>
          <w:rFonts w:ascii="Verdana" w:eastAsia="Times New Roman" w:hAnsi="Verdana" w:cs="Arial"/>
          <w:b/>
          <w:bCs/>
          <w:color w:val="000000"/>
          <w:sz w:val="23"/>
          <w:szCs w:val="23"/>
          <w:lang w:eastAsia="de-DE"/>
        </w:rPr>
        <w:t>Popularitätsargument</w:t>
      </w:r>
      <w:r w:rsidRPr="00F81E6F">
        <w:rPr>
          <w:rFonts w:ascii="Verdana" w:eastAsia="Times New Roman" w:hAnsi="Verdana" w:cs="Arial"/>
          <w:color w:val="000000"/>
          <w:sz w:val="23"/>
          <w:szCs w:val="23"/>
          <w:lang w:eastAsia="de-DE"/>
        </w:rPr>
        <w:t> zurückgegriffen, dann heißt es:</w:t>
      </w:r>
    </w:p>
    <w:p w:rsidR="00E961C6" w:rsidRPr="00F81E6F" w:rsidRDefault="00E961C6" w:rsidP="00F81E6F">
      <w:pPr>
        <w:spacing w:after="0" w:line="240" w:lineRule="auto"/>
        <w:rPr>
          <w:rFonts w:ascii="Arial" w:eastAsia="Times New Roman" w:hAnsi="Arial" w:cs="Arial"/>
          <w:color w:val="666666"/>
          <w:sz w:val="18"/>
          <w:szCs w:val="18"/>
          <w:lang w:eastAsia="de-DE"/>
        </w:rPr>
      </w:pPr>
    </w:p>
    <w:p w:rsidR="00F81E6F" w:rsidRPr="00F81E6F" w:rsidRDefault="00F81E6F" w:rsidP="00E961C6">
      <w:pPr>
        <w:spacing w:after="0" w:line="240" w:lineRule="auto"/>
        <w:ind w:hanging="360"/>
        <w:rPr>
          <w:rFonts w:ascii="Arial" w:eastAsia="Times New Roman" w:hAnsi="Arial" w:cs="Arial"/>
          <w:color w:val="666666"/>
          <w:sz w:val="18"/>
          <w:szCs w:val="18"/>
          <w:lang w:eastAsia="de-DE"/>
        </w:rPr>
      </w:pPr>
      <w:r w:rsidRPr="00F81E6F">
        <w:rPr>
          <w:rFonts w:ascii="Verdana" w:eastAsia="Times New Roman" w:hAnsi="Verdana" w:cs="Arial"/>
          <w:color w:val="000000"/>
          <w:sz w:val="23"/>
          <w:szCs w:val="23"/>
          <w:lang w:eastAsia="de-DE"/>
        </w:rPr>
        <w:t>1.</w:t>
      </w:r>
      <w:r w:rsidRPr="00F81E6F">
        <w:rPr>
          <w:rFonts w:ascii="Times New Roman" w:eastAsia="Times New Roman" w:hAnsi="Times New Roman" w:cs="Times New Roman"/>
          <w:color w:val="000000"/>
          <w:sz w:val="14"/>
          <w:szCs w:val="14"/>
          <w:lang w:eastAsia="de-DE"/>
        </w:rPr>
        <w:t>  </w:t>
      </w:r>
      <w:r w:rsidRPr="00F81E6F">
        <w:rPr>
          <w:rFonts w:ascii="Arial" w:eastAsia="Times New Roman" w:hAnsi="Arial" w:cs="Arial"/>
          <w:color w:val="000000"/>
          <w:sz w:val="18"/>
          <w:szCs w:val="18"/>
          <w:lang w:eastAsia="de-DE"/>
        </w:rPr>
        <w:t> </w:t>
      </w:r>
      <w:r w:rsidRPr="00F81E6F">
        <w:rPr>
          <w:rFonts w:ascii="Verdana" w:eastAsia="Times New Roman" w:hAnsi="Verdana" w:cs="Arial"/>
          <w:color w:val="000000"/>
          <w:sz w:val="23"/>
          <w:szCs w:val="23"/>
          <w:lang w:eastAsia="de-DE"/>
        </w:rPr>
        <w:t>Die meisten Deutschen lehnen Gentechnik ab, also kann das nichts von Segen sein. </w:t>
      </w:r>
      <w:r w:rsidRPr="00F81E6F">
        <w:rPr>
          <w:rFonts w:ascii="Verdana" w:eastAsia="Times New Roman" w:hAnsi="Verdana" w:cs="Arial"/>
          <w:i/>
          <w:iCs/>
          <w:color w:val="000000"/>
          <w:sz w:val="23"/>
          <w:szCs w:val="23"/>
          <w:lang w:eastAsia="de-DE"/>
        </w:rPr>
        <w:t>Oder:</w:t>
      </w:r>
      <w:r w:rsidRPr="00F81E6F">
        <w:rPr>
          <w:rFonts w:ascii="Verdana" w:eastAsia="Times New Roman" w:hAnsi="Verdana" w:cs="Arial"/>
          <w:color w:val="000000"/>
          <w:sz w:val="23"/>
          <w:szCs w:val="23"/>
          <w:lang w:eastAsia="de-DE"/>
        </w:rPr>
        <w:t> Die Amerikaner haben seit Jahren Gentechnik, also regt euch nicht auf.</w:t>
      </w:r>
    </w:p>
    <w:p w:rsidR="00F81E6F" w:rsidRPr="00F81E6F" w:rsidRDefault="00F81E6F" w:rsidP="00F81E6F">
      <w:pPr>
        <w:spacing w:after="0" w:line="240" w:lineRule="auto"/>
        <w:ind w:hanging="360"/>
        <w:rPr>
          <w:rFonts w:ascii="Arial" w:eastAsia="Times New Roman" w:hAnsi="Arial" w:cs="Arial"/>
          <w:color w:val="666666"/>
          <w:sz w:val="18"/>
          <w:szCs w:val="18"/>
          <w:lang w:eastAsia="de-DE"/>
        </w:rPr>
      </w:pPr>
      <w:r w:rsidRPr="00F81E6F">
        <w:rPr>
          <w:rFonts w:ascii="Verdana" w:eastAsia="Times New Roman" w:hAnsi="Verdana" w:cs="Arial"/>
          <w:color w:val="000000"/>
          <w:sz w:val="23"/>
          <w:szCs w:val="23"/>
          <w:lang w:eastAsia="de-DE"/>
        </w:rPr>
        <w:t>2.</w:t>
      </w:r>
      <w:r w:rsidRPr="00F81E6F">
        <w:rPr>
          <w:rFonts w:ascii="Times New Roman" w:eastAsia="Times New Roman" w:hAnsi="Times New Roman" w:cs="Times New Roman"/>
          <w:color w:val="000000"/>
          <w:sz w:val="14"/>
          <w:szCs w:val="14"/>
          <w:lang w:eastAsia="de-DE"/>
        </w:rPr>
        <w:t>  </w:t>
      </w:r>
      <w:r w:rsidRPr="00F81E6F">
        <w:rPr>
          <w:rFonts w:ascii="Arial" w:eastAsia="Times New Roman" w:hAnsi="Arial" w:cs="Arial"/>
          <w:color w:val="000000"/>
          <w:sz w:val="18"/>
          <w:szCs w:val="18"/>
          <w:lang w:eastAsia="de-DE"/>
        </w:rPr>
        <w:t> </w:t>
      </w:r>
      <w:r w:rsidRPr="00F81E6F">
        <w:rPr>
          <w:rFonts w:ascii="Verdana" w:eastAsia="Times New Roman" w:hAnsi="Verdana" w:cs="Arial"/>
          <w:color w:val="000000"/>
          <w:sz w:val="23"/>
          <w:szCs w:val="23"/>
          <w:lang w:eastAsia="de-DE"/>
        </w:rPr>
        <w:t>Wenn man sieht, wer alles homöopathische Kügelchen nimmt, dann muss man sich schon fragen: Können so viele Menschen irren? </w:t>
      </w:r>
      <w:r w:rsidRPr="00F81E6F">
        <w:rPr>
          <w:rFonts w:ascii="Verdana" w:eastAsia="Times New Roman" w:hAnsi="Verdana" w:cs="Arial"/>
          <w:i/>
          <w:iCs/>
          <w:color w:val="000000"/>
          <w:sz w:val="23"/>
          <w:szCs w:val="23"/>
          <w:lang w:eastAsia="de-DE"/>
        </w:rPr>
        <w:t>Oder:</w:t>
      </w:r>
      <w:r w:rsidRPr="00F81E6F">
        <w:rPr>
          <w:rFonts w:ascii="Verdana" w:eastAsia="Times New Roman" w:hAnsi="Verdana" w:cs="Arial"/>
          <w:color w:val="000000"/>
          <w:sz w:val="23"/>
          <w:szCs w:val="23"/>
          <w:lang w:eastAsia="de-DE"/>
        </w:rPr>
        <w:t> Viele Menschen witzeln über die homöopathische Methode, also muss ich das auch nicht ernst nehmen.</w:t>
      </w:r>
    </w:p>
    <w:p w:rsidR="00E961C6" w:rsidRDefault="00E961C6" w:rsidP="00F81E6F">
      <w:pPr>
        <w:spacing w:after="0" w:line="240" w:lineRule="auto"/>
        <w:rPr>
          <w:rFonts w:ascii="Verdana" w:eastAsia="Times New Roman" w:hAnsi="Verdana" w:cs="Arial"/>
          <w:b/>
          <w:bCs/>
          <w:color w:val="000000"/>
          <w:sz w:val="23"/>
          <w:szCs w:val="23"/>
          <w:lang w:eastAsia="de-DE"/>
        </w:rPr>
      </w:pPr>
    </w:p>
    <w:p w:rsidR="00F81E6F" w:rsidRPr="00F81E6F" w:rsidRDefault="00F81E6F" w:rsidP="00F81E6F">
      <w:pPr>
        <w:spacing w:after="0" w:line="240" w:lineRule="auto"/>
        <w:rPr>
          <w:rFonts w:ascii="Arial" w:eastAsia="Times New Roman" w:hAnsi="Arial" w:cs="Arial"/>
          <w:color w:val="666666"/>
          <w:sz w:val="18"/>
          <w:szCs w:val="18"/>
          <w:lang w:eastAsia="de-DE"/>
        </w:rPr>
      </w:pPr>
      <w:r w:rsidRPr="00F81E6F">
        <w:rPr>
          <w:rFonts w:ascii="Verdana" w:eastAsia="Times New Roman" w:hAnsi="Verdana" w:cs="Arial"/>
          <w:b/>
          <w:bCs/>
          <w:color w:val="000000"/>
          <w:sz w:val="23"/>
          <w:szCs w:val="23"/>
          <w:lang w:eastAsia="de-DE"/>
        </w:rPr>
        <w:t>Bei dieser Argumentationsstruktur, dem </w:t>
      </w:r>
      <w:r w:rsidRPr="00F81E6F">
        <w:rPr>
          <w:rFonts w:ascii="Verdana" w:eastAsia="Times New Roman" w:hAnsi="Verdana" w:cs="Arial"/>
          <w:b/>
          <w:bCs/>
          <w:i/>
          <w:iCs/>
          <w:color w:val="000000"/>
          <w:sz w:val="23"/>
          <w:szCs w:val="23"/>
          <w:lang w:eastAsia="de-DE"/>
        </w:rPr>
        <w:t>„</w:t>
      </w:r>
      <w:proofErr w:type="spellStart"/>
      <w:r w:rsidRPr="00F81E6F">
        <w:rPr>
          <w:rFonts w:ascii="Verdana" w:eastAsia="Times New Roman" w:hAnsi="Verdana" w:cs="Arial"/>
          <w:b/>
          <w:bCs/>
          <w:i/>
          <w:iCs/>
          <w:color w:val="000000"/>
          <w:sz w:val="23"/>
          <w:szCs w:val="23"/>
          <w:lang w:eastAsia="de-DE"/>
        </w:rPr>
        <w:t>Argumentum</w:t>
      </w:r>
      <w:proofErr w:type="spellEnd"/>
      <w:r w:rsidRPr="00F81E6F">
        <w:rPr>
          <w:rFonts w:ascii="Verdana" w:eastAsia="Times New Roman" w:hAnsi="Verdana" w:cs="Arial"/>
          <w:b/>
          <w:bCs/>
          <w:i/>
          <w:iCs/>
          <w:color w:val="000000"/>
          <w:sz w:val="23"/>
          <w:szCs w:val="23"/>
          <w:lang w:eastAsia="de-DE"/>
        </w:rPr>
        <w:t xml:space="preserve"> ad </w:t>
      </w:r>
      <w:proofErr w:type="spellStart"/>
      <w:r w:rsidRPr="00F81E6F">
        <w:rPr>
          <w:rFonts w:ascii="Verdana" w:eastAsia="Times New Roman" w:hAnsi="Verdana" w:cs="Arial"/>
          <w:b/>
          <w:bCs/>
          <w:i/>
          <w:iCs/>
          <w:color w:val="000000"/>
          <w:sz w:val="23"/>
          <w:szCs w:val="23"/>
          <w:lang w:eastAsia="de-DE"/>
        </w:rPr>
        <w:t>populum</w:t>
      </w:r>
      <w:proofErr w:type="spellEnd"/>
      <w:r w:rsidRPr="00F81E6F">
        <w:rPr>
          <w:rFonts w:ascii="Verdana" w:eastAsia="Times New Roman" w:hAnsi="Verdana" w:cs="Arial"/>
          <w:b/>
          <w:bCs/>
          <w:i/>
          <w:iCs/>
          <w:color w:val="000000"/>
          <w:sz w:val="23"/>
          <w:szCs w:val="23"/>
          <w:lang w:eastAsia="de-DE"/>
        </w:rPr>
        <w:t>“,</w:t>
      </w:r>
      <w:r w:rsidRPr="00F81E6F">
        <w:rPr>
          <w:rFonts w:ascii="Verdana" w:eastAsia="Times New Roman" w:hAnsi="Verdana" w:cs="Arial"/>
          <w:b/>
          <w:bCs/>
          <w:color w:val="000000"/>
          <w:sz w:val="23"/>
          <w:szCs w:val="23"/>
          <w:lang w:eastAsia="de-DE"/>
        </w:rPr>
        <w:t> wird behauptet, etwas entspreche der Wahrheit oder sei zumindest wahrscheinlicher, weil es der Meinung einer relevanten Mehrheit entspricht</w:t>
      </w:r>
      <w:r w:rsidRPr="00F81E6F">
        <w:rPr>
          <w:rFonts w:ascii="Verdana" w:eastAsia="Times New Roman" w:hAnsi="Verdana" w:cs="Arial"/>
          <w:color w:val="000000"/>
          <w:sz w:val="23"/>
          <w:szCs w:val="23"/>
          <w:lang w:eastAsia="de-DE"/>
        </w:rPr>
        <w:t>.</w:t>
      </w:r>
    </w:p>
    <w:p w:rsidR="00E961C6" w:rsidRDefault="00E961C6" w:rsidP="00F81E6F">
      <w:pPr>
        <w:spacing w:after="0" w:line="240" w:lineRule="auto"/>
        <w:rPr>
          <w:rFonts w:ascii="Verdana" w:eastAsia="Times New Roman" w:hAnsi="Verdana" w:cs="Arial"/>
          <w:color w:val="000000"/>
          <w:sz w:val="23"/>
          <w:szCs w:val="23"/>
          <w:lang w:eastAsia="de-DE"/>
        </w:rPr>
      </w:pPr>
    </w:p>
    <w:p w:rsidR="00F81E6F" w:rsidRPr="00F81E6F" w:rsidRDefault="00F81E6F" w:rsidP="00F81E6F">
      <w:pPr>
        <w:spacing w:after="0" w:line="240" w:lineRule="auto"/>
        <w:rPr>
          <w:rFonts w:ascii="Arial" w:eastAsia="Times New Roman" w:hAnsi="Arial" w:cs="Arial"/>
          <w:color w:val="666666"/>
          <w:sz w:val="18"/>
          <w:szCs w:val="18"/>
          <w:lang w:eastAsia="de-DE"/>
        </w:rPr>
      </w:pPr>
      <w:r w:rsidRPr="00F81E6F">
        <w:rPr>
          <w:rFonts w:ascii="Verdana" w:eastAsia="Times New Roman" w:hAnsi="Verdana" w:cs="Arial"/>
          <w:color w:val="000000"/>
          <w:sz w:val="23"/>
          <w:szCs w:val="23"/>
          <w:lang w:eastAsia="de-DE"/>
        </w:rPr>
        <w:t>Die beiden Aussagen 1 und 2 lassen sich überspitzt so zusammenfassen: Genau dann, wenn eine relevante Anzahl n x isst, ist x gut für mich. Und im Umkehrschluss: Falls n Personen nicht x essen, ist x nicht gut für mich.</w:t>
      </w:r>
    </w:p>
    <w:p w:rsidR="00F81E6F" w:rsidRPr="00F81E6F" w:rsidRDefault="00F81E6F" w:rsidP="00F81E6F">
      <w:pPr>
        <w:spacing w:after="0" w:line="240" w:lineRule="auto"/>
        <w:rPr>
          <w:rFonts w:ascii="Arial" w:eastAsia="Times New Roman" w:hAnsi="Arial" w:cs="Arial"/>
          <w:color w:val="666666"/>
          <w:sz w:val="18"/>
          <w:szCs w:val="18"/>
          <w:lang w:eastAsia="de-DE"/>
        </w:rPr>
      </w:pPr>
      <w:bookmarkStart w:id="0" w:name="_GoBack"/>
      <w:r w:rsidRPr="00F81E6F">
        <w:rPr>
          <w:rFonts w:ascii="Verdana" w:eastAsia="Times New Roman" w:hAnsi="Verdana" w:cs="Arial"/>
          <w:color w:val="000000"/>
          <w:sz w:val="23"/>
          <w:szCs w:val="23"/>
          <w:lang w:eastAsia="de-DE"/>
        </w:rPr>
        <w:t>Eine oberflächliche Verballhornung dieser Argumentationsfigur wäre: „</w:t>
      </w:r>
      <w:r w:rsidRPr="00F81E6F">
        <w:rPr>
          <w:rFonts w:ascii="Verdana" w:eastAsia="Times New Roman" w:hAnsi="Verdana" w:cs="Arial"/>
          <w:b/>
          <w:bCs/>
          <w:color w:val="000000"/>
          <w:sz w:val="23"/>
          <w:szCs w:val="23"/>
          <w:lang w:eastAsia="de-DE"/>
        </w:rPr>
        <w:t>Milliarden Fliegen können nicht irren. Fresst Scheiße!</w:t>
      </w:r>
      <w:r w:rsidRPr="00F81E6F">
        <w:rPr>
          <w:rFonts w:ascii="Verdana" w:eastAsia="Times New Roman" w:hAnsi="Verdana" w:cs="Arial"/>
          <w:color w:val="000000"/>
          <w:sz w:val="23"/>
          <w:szCs w:val="23"/>
          <w:lang w:eastAsia="de-DE"/>
        </w:rPr>
        <w:t>“ Ein drastischeres Beispiel wäre: „Zur Zeit des Dritten Reiches glaubten Millionen Menschen an die Rassenideologie. Irgendwas muss ja dran sein.“ Die Essenz dieses Kritikansatzes ist hoffentlich klar:</w:t>
      </w:r>
      <w:r w:rsidRPr="00F81E6F">
        <w:rPr>
          <w:rFonts w:ascii="Verdana" w:eastAsia="Times New Roman" w:hAnsi="Verdana" w:cs="Arial"/>
          <w:color w:val="666666"/>
          <w:sz w:val="23"/>
          <w:szCs w:val="23"/>
          <w:lang w:eastAsia="de-DE"/>
        </w:rPr>
        <w:t> </w:t>
      </w:r>
      <w:r w:rsidRPr="00F81E6F">
        <w:rPr>
          <w:rFonts w:ascii="Verdana" w:eastAsia="Times New Roman" w:hAnsi="Verdana" w:cs="Arial"/>
          <w:b/>
          <w:bCs/>
          <w:color w:val="000000"/>
          <w:sz w:val="23"/>
          <w:szCs w:val="23"/>
          <w:lang w:eastAsia="de-DE"/>
        </w:rPr>
        <w:t>Die Tatsache, dass eine relative oder absolute Mehrheit eine Auffassung vertritt, sagt erst einmal aber auch noch rein gar nichts über den</w:t>
      </w:r>
      <w:r w:rsidRPr="00F81E6F">
        <w:rPr>
          <w:rFonts w:ascii="Verdana" w:eastAsia="Times New Roman" w:hAnsi="Verdana" w:cs="Arial"/>
          <w:b/>
          <w:bCs/>
          <w:color w:val="666666"/>
          <w:sz w:val="23"/>
          <w:szCs w:val="23"/>
          <w:lang w:eastAsia="de-DE"/>
        </w:rPr>
        <w:t> </w:t>
      </w:r>
      <w:r w:rsidRPr="00F81E6F">
        <w:rPr>
          <w:rFonts w:ascii="Verdana" w:eastAsia="Times New Roman" w:hAnsi="Verdana" w:cs="Arial"/>
          <w:b/>
          <w:bCs/>
          <w:color w:val="FFC000"/>
          <w:sz w:val="23"/>
          <w:szCs w:val="23"/>
          <w:lang w:eastAsia="de-DE"/>
        </w:rPr>
        <w:t>Wahrheitsgehalt</w:t>
      </w:r>
      <w:r w:rsidRPr="00F81E6F">
        <w:rPr>
          <w:rFonts w:ascii="Verdana" w:eastAsia="Times New Roman" w:hAnsi="Verdana" w:cs="Arial"/>
          <w:b/>
          <w:bCs/>
          <w:color w:val="666666"/>
          <w:sz w:val="23"/>
          <w:szCs w:val="23"/>
          <w:lang w:eastAsia="de-DE"/>
        </w:rPr>
        <w:t> </w:t>
      </w:r>
      <w:r w:rsidRPr="00F81E6F">
        <w:rPr>
          <w:rFonts w:ascii="Verdana" w:eastAsia="Times New Roman" w:hAnsi="Verdana" w:cs="Arial"/>
          <w:b/>
          <w:bCs/>
          <w:color w:val="000000"/>
          <w:sz w:val="23"/>
          <w:szCs w:val="23"/>
          <w:lang w:eastAsia="de-DE"/>
        </w:rPr>
        <w:t>dieser Auffassung aus</w:t>
      </w:r>
      <w:r w:rsidRPr="00F81E6F">
        <w:rPr>
          <w:rFonts w:ascii="Verdana" w:eastAsia="Times New Roman" w:hAnsi="Verdana" w:cs="Arial"/>
          <w:color w:val="000000"/>
          <w:sz w:val="23"/>
          <w:szCs w:val="23"/>
          <w:lang w:eastAsia="de-DE"/>
        </w:rPr>
        <w:t>.</w:t>
      </w:r>
    </w:p>
    <w:bookmarkEnd w:id="0"/>
    <w:p w:rsidR="00F81E6F" w:rsidRPr="00F81E6F" w:rsidRDefault="00F81E6F" w:rsidP="00F81E6F">
      <w:pPr>
        <w:spacing w:after="0" w:line="240" w:lineRule="auto"/>
        <w:rPr>
          <w:rFonts w:ascii="Arial" w:eastAsia="Times New Roman" w:hAnsi="Arial" w:cs="Arial"/>
          <w:color w:val="666666"/>
          <w:sz w:val="18"/>
          <w:szCs w:val="18"/>
          <w:lang w:eastAsia="de-DE"/>
        </w:rPr>
      </w:pPr>
      <w:r w:rsidRPr="00F81E6F">
        <w:rPr>
          <w:rFonts w:ascii="Arial" w:eastAsia="Times New Roman" w:hAnsi="Arial" w:cs="Arial"/>
          <w:noProof/>
          <w:color w:val="666666"/>
          <w:sz w:val="18"/>
          <w:szCs w:val="18"/>
          <w:lang w:eastAsia="de-DE"/>
        </w:rPr>
        <w:lastRenderedPageBreak/>
        <w:drawing>
          <wp:inline distT="0" distB="0" distL="0" distR="0">
            <wp:extent cx="5264785" cy="3851275"/>
            <wp:effectExtent l="0" t="0" r="0" b="0"/>
            <wp:docPr id="2" name="Grafik 2" descr="Quelle: http://upload.wikimedia.org/wikipedia/commons/9/96/Bundesarchiv_Bild_146-1982-160-12%2C_Generalappell_der_SA_im_Sportpalast%2C_Berlin.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46477593" descr="Quelle: http://upload.wikimedia.org/wikipedia/commons/9/96/Bundesarchiv_Bild_146-1982-160-12%2C_Generalappell_der_SA_im_Sportpalast%2C_Berlin.jpg?uselang=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785" cy="3851275"/>
                    </a:xfrm>
                    <a:prstGeom prst="rect">
                      <a:avLst/>
                    </a:prstGeom>
                    <a:noFill/>
                    <a:ln>
                      <a:noFill/>
                    </a:ln>
                  </pic:spPr>
                </pic:pic>
              </a:graphicData>
            </a:graphic>
          </wp:inline>
        </w:drawing>
      </w:r>
      <w:r w:rsidRPr="00F81E6F">
        <w:rPr>
          <w:rFonts w:ascii="Arial" w:eastAsia="Times New Roman" w:hAnsi="Arial" w:cs="Arial"/>
          <w:color w:val="666666"/>
          <w:sz w:val="18"/>
          <w:szCs w:val="18"/>
          <w:lang w:eastAsia="de-DE"/>
        </w:rPr>
        <w:t>Quelle: http://upload.wikimedia.org/wikipedia/commons/9/96/Bundesarchiv_Bild_146-1982-160-12%2C_Generalappell_der_SA_im_Sportpalast%2C_Berlin.jpg?uselang=de</w:t>
      </w:r>
    </w:p>
    <w:p w:rsidR="000D65A0" w:rsidRDefault="00E961C6"/>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6F"/>
    <w:rsid w:val="001B7903"/>
    <w:rsid w:val="00B91F7A"/>
    <w:rsid w:val="00E961C6"/>
    <w:rsid w:val="00F8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CEE76-6F91-40E2-85AE-0B8F67F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81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1E6F"/>
    <w:rPr>
      <w:color w:val="0000FF"/>
      <w:u w:val="single"/>
    </w:rPr>
  </w:style>
  <w:style w:type="character" w:styleId="Fett">
    <w:name w:val="Strong"/>
    <w:basedOn w:val="Absatz-Standardschriftart"/>
    <w:uiPriority w:val="22"/>
    <w:qFormat/>
    <w:rsid w:val="00F81E6F"/>
    <w:rPr>
      <w:b/>
      <w:bCs/>
    </w:rPr>
  </w:style>
  <w:style w:type="paragraph" w:styleId="Listenabsatz">
    <w:name w:val="List Paragraph"/>
    <w:basedOn w:val="Standard"/>
    <w:uiPriority w:val="34"/>
    <w:qFormat/>
    <w:rsid w:val="00F81E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81E6F"/>
    <w:rPr>
      <w:i/>
      <w:iCs/>
    </w:rPr>
  </w:style>
  <w:style w:type="character" w:customStyle="1" w:styleId="berschrift1Zchn">
    <w:name w:val="Überschrift 1 Zchn"/>
    <w:basedOn w:val="Absatz-Standardschriftart"/>
    <w:link w:val="berschrift1"/>
    <w:uiPriority w:val="9"/>
    <w:rsid w:val="00F81E6F"/>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9258">
      <w:bodyDiv w:val="1"/>
      <w:marLeft w:val="0"/>
      <w:marRight w:val="0"/>
      <w:marTop w:val="0"/>
      <w:marBottom w:val="0"/>
      <w:divBdr>
        <w:top w:val="none" w:sz="0" w:space="0" w:color="auto"/>
        <w:left w:val="none" w:sz="0" w:space="0" w:color="auto"/>
        <w:bottom w:val="none" w:sz="0" w:space="0" w:color="auto"/>
        <w:right w:val="none" w:sz="0" w:space="0" w:color="auto"/>
      </w:divBdr>
    </w:div>
    <w:div w:id="1225096910">
      <w:bodyDiv w:val="1"/>
      <w:marLeft w:val="0"/>
      <w:marRight w:val="0"/>
      <w:marTop w:val="0"/>
      <w:marBottom w:val="0"/>
      <w:divBdr>
        <w:top w:val="none" w:sz="0" w:space="0" w:color="auto"/>
        <w:left w:val="none" w:sz="0" w:space="0" w:color="auto"/>
        <w:bottom w:val="none" w:sz="0" w:space="0" w:color="auto"/>
        <w:right w:val="none" w:sz="0" w:space="0" w:color="auto"/>
      </w:divBdr>
      <w:divsChild>
        <w:div w:id="837813862">
          <w:marLeft w:val="0"/>
          <w:marRight w:val="0"/>
          <w:marTop w:val="0"/>
          <w:marBottom w:val="0"/>
          <w:divBdr>
            <w:top w:val="none" w:sz="0" w:space="0" w:color="auto"/>
            <w:left w:val="none" w:sz="0" w:space="0" w:color="auto"/>
            <w:bottom w:val="none" w:sz="0" w:space="0" w:color="auto"/>
            <w:right w:val="none" w:sz="0" w:space="0" w:color="auto"/>
          </w:divBdr>
        </w:div>
        <w:div w:id="1964996736">
          <w:marLeft w:val="0"/>
          <w:marRight w:val="0"/>
          <w:marTop w:val="0"/>
          <w:marBottom w:val="0"/>
          <w:divBdr>
            <w:top w:val="none" w:sz="0" w:space="0" w:color="auto"/>
            <w:left w:val="none" w:sz="0" w:space="0" w:color="auto"/>
            <w:bottom w:val="none" w:sz="0" w:space="0" w:color="auto"/>
            <w:right w:val="none" w:sz="0" w:space="0" w:color="auto"/>
          </w:divBdr>
        </w:div>
        <w:div w:id="2128967554">
          <w:marLeft w:val="0"/>
          <w:marRight w:val="0"/>
          <w:marTop w:val="0"/>
          <w:marBottom w:val="0"/>
          <w:divBdr>
            <w:top w:val="none" w:sz="0" w:space="0" w:color="auto"/>
            <w:left w:val="none" w:sz="0" w:space="0" w:color="auto"/>
            <w:bottom w:val="none" w:sz="0" w:space="0" w:color="auto"/>
            <w:right w:val="none" w:sz="0" w:space="0" w:color="auto"/>
          </w:divBdr>
        </w:div>
        <w:div w:id="1569464470">
          <w:marLeft w:val="0"/>
          <w:marRight w:val="0"/>
          <w:marTop w:val="0"/>
          <w:marBottom w:val="0"/>
          <w:divBdr>
            <w:top w:val="none" w:sz="0" w:space="0" w:color="auto"/>
            <w:left w:val="none" w:sz="0" w:space="0" w:color="auto"/>
            <w:bottom w:val="none" w:sz="0" w:space="0" w:color="auto"/>
            <w:right w:val="none" w:sz="0" w:space="0" w:color="auto"/>
          </w:divBdr>
        </w:div>
        <w:div w:id="774132813">
          <w:marLeft w:val="0"/>
          <w:marRight w:val="0"/>
          <w:marTop w:val="0"/>
          <w:marBottom w:val="0"/>
          <w:divBdr>
            <w:top w:val="none" w:sz="0" w:space="0" w:color="auto"/>
            <w:left w:val="none" w:sz="0" w:space="0" w:color="auto"/>
            <w:bottom w:val="none" w:sz="0" w:space="0" w:color="auto"/>
            <w:right w:val="none" w:sz="0" w:space="0" w:color="auto"/>
          </w:divBdr>
        </w:div>
        <w:div w:id="1101099561">
          <w:marLeft w:val="0"/>
          <w:marRight w:val="0"/>
          <w:marTop w:val="0"/>
          <w:marBottom w:val="0"/>
          <w:divBdr>
            <w:top w:val="none" w:sz="0" w:space="0" w:color="auto"/>
            <w:left w:val="none" w:sz="0" w:space="0" w:color="auto"/>
            <w:bottom w:val="none" w:sz="0" w:space="0" w:color="auto"/>
            <w:right w:val="none" w:sz="0" w:space="0" w:color="auto"/>
          </w:divBdr>
        </w:div>
        <w:div w:id="1212497504">
          <w:marLeft w:val="0"/>
          <w:marRight w:val="0"/>
          <w:marTop w:val="0"/>
          <w:marBottom w:val="0"/>
          <w:divBdr>
            <w:top w:val="none" w:sz="0" w:space="0" w:color="auto"/>
            <w:left w:val="none" w:sz="0" w:space="0" w:color="auto"/>
            <w:bottom w:val="none" w:sz="0" w:space="0" w:color="auto"/>
            <w:right w:val="none" w:sz="0" w:space="0" w:color="auto"/>
          </w:divBdr>
        </w:div>
        <w:div w:id="19812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apereaudepls.de/2017/11/28/argumentationsfehler/" TargetMode="External"/><Relationship Id="rId5" Type="http://schemas.openxmlformats.org/officeDocument/2006/relationships/hyperlink" Target="https://www.sapereaudepls.de/sonstiges/esoterik-co/hom%C3%B6opath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233D-A407-44C8-964B-C1A3BC59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2269</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2</cp:revision>
  <dcterms:created xsi:type="dcterms:W3CDTF">2019-02-02T02:08:00Z</dcterms:created>
  <dcterms:modified xsi:type="dcterms:W3CDTF">2019-02-02T02:18:00Z</dcterms:modified>
</cp:coreProperties>
</file>